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b/>
        </w:rPr>
      </w:pPr>
      <w:r>
        <w:rPr>
          <w:rFonts w:hint="eastAsia"/>
          <w:b/>
        </w:rPr>
        <w:t>采购需求</w:t>
      </w:r>
    </w:p>
    <w:p>
      <w:pPr>
        <w:spacing w:line="360" w:lineRule="auto"/>
        <w:rPr>
          <w:rFonts w:hint="eastAsia" w:ascii="宋体" w:hAnsi="宋体"/>
          <w:color w:val="000000"/>
          <w:sz w:val="24"/>
          <w:szCs w:val="28"/>
        </w:rPr>
      </w:pPr>
      <w:r>
        <w:rPr>
          <w:rFonts w:hint="eastAsia" w:ascii="宋体" w:hAnsi="宋体"/>
          <w:color w:val="000000"/>
          <w:sz w:val="24"/>
          <w:szCs w:val="28"/>
        </w:rPr>
        <w:t>前注：</w:t>
      </w:r>
    </w:p>
    <w:p>
      <w:pPr>
        <w:spacing w:line="360" w:lineRule="auto"/>
        <w:rPr>
          <w:rFonts w:ascii="宋体" w:hAnsi="宋体"/>
          <w:color w:val="000000"/>
          <w:sz w:val="24"/>
          <w:szCs w:val="28"/>
        </w:rPr>
      </w:pPr>
      <w:r>
        <w:rPr>
          <w:rFonts w:hint="eastAsia" w:ascii="宋体" w:hAnsi="宋体"/>
          <w:color w:val="000000"/>
          <w:sz w:val="24"/>
          <w:szCs w:val="28"/>
        </w:rPr>
        <w:t>1）本说明中提出的技术方案仅为参考，如无明确限制，供应商可以进行优化，提供满足用户实际需要的更优（或者性能实质上不低于的）服务方案，</w:t>
      </w:r>
      <w:r>
        <w:rPr>
          <w:rFonts w:hint="eastAsia" w:ascii="宋体" w:hAnsi="宋体"/>
          <w:color w:val="000000"/>
          <w:sz w:val="24"/>
        </w:rPr>
        <w:t>且此方案须经询价小组评审认可；</w:t>
      </w:r>
      <w:r>
        <w:rPr>
          <w:rFonts w:hint="eastAsia" w:ascii="宋体" w:hAnsi="宋体"/>
          <w:color w:val="000000"/>
          <w:sz w:val="24"/>
        </w:rPr>
        <w:cr/>
      </w:r>
      <w:r>
        <w:rPr>
          <w:rFonts w:hint="eastAsia" w:ascii="宋体" w:hAnsi="宋体"/>
          <w:color w:val="000000"/>
          <w:sz w:val="24"/>
          <w:szCs w:val="28"/>
        </w:rPr>
        <w:t>2）供应商应当在响应文件中列出完成本项目并通过验收所需的全部费用。成交供应商必须确保整体通过用户方及有关主管部门验收,所发生的验收费用由成交供应商承担；供应商应自行勘察项目现场，如供应商因未及时勘察现场而导致的报价缺项漏项废标、或成交后无法完工，供应商自行承担一切后果；</w:t>
      </w:r>
    </w:p>
    <w:p>
      <w:pPr>
        <w:spacing w:line="360" w:lineRule="auto"/>
        <w:rPr>
          <w:rFonts w:hint="eastAsia" w:ascii="宋体" w:hAnsi="宋体"/>
          <w:sz w:val="24"/>
        </w:rPr>
      </w:pPr>
      <w:r>
        <w:rPr>
          <w:rFonts w:hint="eastAsia" w:ascii="宋体" w:hAnsi="宋体"/>
          <w:color w:val="000000"/>
          <w:sz w:val="24"/>
          <w:szCs w:val="28"/>
        </w:rPr>
        <w:t>3）供应商应当在响应文件中列出完成本项目并通过验收所需的所有各项服务等明细表及全部费用。成交供应商必须确保整体通过用户方及有关主管部门验收,所发生的验收费用由成交供应商承担；供应商应自行勘察项目现场，如供应商因未及时勘察现场而导致的报价缺项漏项废</w:t>
      </w:r>
      <w:r>
        <w:rPr>
          <w:rFonts w:hint="eastAsia" w:ascii="宋体" w:hAnsi="宋体"/>
          <w:sz w:val="24"/>
          <w:szCs w:val="28"/>
        </w:rPr>
        <w:t>标、或成交后无法完工，供应商自行承担一切后果；</w:t>
      </w:r>
    </w:p>
    <w:p>
      <w:pPr>
        <w:spacing w:line="360" w:lineRule="auto"/>
        <w:rPr>
          <w:rFonts w:hint="eastAsia" w:ascii="宋体" w:hAnsi="宋体"/>
          <w:color w:val="000000"/>
          <w:sz w:val="24"/>
          <w:szCs w:val="28"/>
        </w:rPr>
      </w:pPr>
      <w:r>
        <w:rPr>
          <w:rFonts w:hint="eastAsia" w:ascii="宋体" w:hAnsi="宋体"/>
          <w:color w:val="000000"/>
          <w:sz w:val="24"/>
          <w:szCs w:val="28"/>
          <w:lang w:val="en-US" w:eastAsia="zh-CN"/>
        </w:rPr>
        <w:t>4）</w:t>
      </w:r>
      <w:r>
        <w:rPr>
          <w:rFonts w:hint="eastAsia" w:ascii="宋体" w:hAnsi="宋体"/>
          <w:color w:val="000000"/>
          <w:sz w:val="24"/>
          <w:szCs w:val="28"/>
        </w:rPr>
        <w:t>如对本询价函有任何疑问或澄清要求，请按本询价函“供应商须知前附表”中约定方式联系采购人和</w:t>
      </w:r>
      <w:r>
        <w:rPr>
          <w:rFonts w:hint="eastAsia" w:ascii="宋体" w:hAnsi="宋体"/>
          <w:color w:val="000000"/>
          <w:sz w:val="24"/>
          <w:szCs w:val="28"/>
          <w:lang w:val="en-US" w:eastAsia="zh-CN"/>
        </w:rPr>
        <w:t>代理机构</w:t>
      </w:r>
      <w:r>
        <w:rPr>
          <w:rFonts w:hint="eastAsia" w:ascii="宋体" w:hAnsi="宋体"/>
          <w:color w:val="000000"/>
          <w:sz w:val="24"/>
          <w:szCs w:val="28"/>
        </w:rPr>
        <w:t>，或在接受答疑截止时间前联系采购人，否则视同理解和接受，询价后采购人</w:t>
      </w:r>
      <w:r>
        <w:rPr>
          <w:rFonts w:hint="eastAsia" w:ascii="宋体" w:hAnsi="宋体"/>
          <w:color w:val="000000"/>
          <w:sz w:val="24"/>
          <w:lang w:val="en-US" w:eastAsia="zh-CN"/>
        </w:rPr>
        <w:t>及其委托的代理机构</w:t>
      </w:r>
      <w:r>
        <w:rPr>
          <w:rFonts w:hint="eastAsia" w:ascii="宋体" w:hAnsi="宋体"/>
          <w:color w:val="000000"/>
          <w:sz w:val="24"/>
          <w:szCs w:val="28"/>
        </w:rPr>
        <w:t>不再受理对询价函条款提出的质疑。</w:t>
      </w:r>
    </w:p>
    <w:p>
      <w:pPr>
        <w:pStyle w:val="3"/>
        <w:spacing w:line="500" w:lineRule="exact"/>
        <w:jc w:val="center"/>
        <w:rPr>
          <w:rFonts w:hint="eastAsia" w:ascii="黑体" w:hAnsi="黑体" w:eastAsia="黑体"/>
          <w:lang w:eastAsia="zh-CN"/>
        </w:rPr>
      </w:pPr>
      <w:r>
        <w:rPr>
          <w:rFonts w:hint="eastAsia" w:ascii="黑体" w:hAnsi="黑体" w:eastAsia="黑体" w:cs="黑体"/>
          <w:lang w:eastAsia="zh-CN"/>
        </w:rPr>
        <w:t>淮北市疾控中心2021年度医用辐射防护监测及第三方放射卫生技术服务（放射诊疗设备性能和工作场所防护检测）项目三</w:t>
      </w:r>
      <w:bookmarkStart w:id="2" w:name="_GoBack"/>
      <w:bookmarkEnd w:id="2"/>
      <w:r>
        <w:rPr>
          <w:rFonts w:hint="eastAsia" w:ascii="黑体" w:hAnsi="黑体" w:eastAsia="黑体" w:cs="黑体"/>
          <w:lang w:eastAsia="zh-CN"/>
        </w:rPr>
        <w:t>次</w:t>
      </w:r>
    </w:p>
    <w:p>
      <w:pPr>
        <w:rPr>
          <w:b/>
          <w:bCs/>
          <w:sz w:val="24"/>
          <w:szCs w:val="24"/>
        </w:rPr>
      </w:pPr>
      <w:r>
        <w:rPr>
          <w:rFonts w:hint="eastAsia"/>
          <w:b/>
          <w:bCs/>
          <w:sz w:val="24"/>
          <w:szCs w:val="24"/>
          <w:lang w:val="en-US" w:eastAsia="zh-CN"/>
        </w:rPr>
        <w:t>一、</w:t>
      </w:r>
      <w:r>
        <w:rPr>
          <w:rFonts w:hint="eastAsia"/>
          <w:b/>
          <w:bCs/>
          <w:sz w:val="24"/>
          <w:szCs w:val="24"/>
        </w:rPr>
        <w:t>服务内容：</w:t>
      </w:r>
    </w:p>
    <w:p>
      <w:pPr>
        <w:pStyle w:val="4"/>
        <w:numPr>
          <w:ilvl w:val="0"/>
          <w:numId w:val="0"/>
        </w:numPr>
        <w:ind w:leftChars="0" w:firstLine="480" w:firstLineChars="200"/>
        <w:jc w:val="left"/>
        <w:rPr>
          <w:rFonts w:hint="eastAsia" w:ascii="宋体" w:hAnsi="宋体" w:eastAsia="宋体" w:cs="宋体"/>
          <w:b w:val="0"/>
          <w:bCs w:val="0"/>
          <w:sz w:val="24"/>
          <w:szCs w:val="24"/>
          <w:lang w:val="en-US" w:eastAsia="zh-CN"/>
        </w:rPr>
      </w:pPr>
      <w:bookmarkStart w:id="0" w:name="_Toc17488"/>
      <w:r>
        <w:rPr>
          <w:rFonts w:hint="eastAsia" w:ascii="宋体" w:hAnsi="宋体" w:eastAsia="宋体" w:cs="宋体"/>
          <w:b w:val="0"/>
          <w:bCs w:val="0"/>
          <w:sz w:val="24"/>
          <w:szCs w:val="24"/>
          <w:lang w:val="en-US" w:eastAsia="zh-CN"/>
        </w:rPr>
        <w:t>根据2021年淮北市实施医疗卫生机构辐射防护监测有关工作需要，对指定的市人民医院等</w:t>
      </w:r>
      <w:r>
        <w:rPr>
          <w:rFonts w:hint="eastAsia" w:ascii="宋体" w:hAnsi="宋体" w:eastAsia="宋体" w:cs="宋体"/>
          <w:b w:val="0"/>
          <w:bCs w:val="0"/>
          <w:color w:val="auto"/>
          <w:sz w:val="24"/>
          <w:szCs w:val="24"/>
          <w:lang w:val="en-US" w:eastAsia="zh-CN"/>
        </w:rPr>
        <w:t>三家监测点医疗机构</w:t>
      </w:r>
      <w:r>
        <w:rPr>
          <w:rFonts w:hint="eastAsia" w:ascii="宋体" w:hAnsi="宋体" w:eastAsia="宋体" w:cs="宋体"/>
          <w:b w:val="0"/>
          <w:bCs w:val="0"/>
          <w:sz w:val="24"/>
          <w:szCs w:val="24"/>
          <w:lang w:val="en-US" w:eastAsia="zh-CN"/>
        </w:rPr>
        <w:t>（以下均称监测点医疗机构）放射诊疗设备性能和工作场所防护检测情况进行监测及质控。</w:t>
      </w:r>
    </w:p>
    <w:p>
      <w:pPr>
        <w:pStyle w:val="4"/>
        <w:numPr>
          <w:ilvl w:val="0"/>
          <w:numId w:val="0"/>
        </w:numPr>
        <w:jc w:val="left"/>
        <w:rPr>
          <w:rFonts w:hint="eastAsia" w:ascii="宋体" w:hAnsi="宋体" w:eastAsia="宋体" w:cs="宋体"/>
          <w:sz w:val="24"/>
          <w:szCs w:val="24"/>
        </w:rPr>
      </w:pPr>
      <w:r>
        <w:rPr>
          <w:rFonts w:hint="eastAsia" w:ascii="宋体" w:hAnsi="宋体" w:eastAsia="宋体" w:cs="宋体"/>
          <w:sz w:val="24"/>
          <w:szCs w:val="24"/>
          <w:lang w:val="en-US" w:eastAsia="zh-CN"/>
        </w:rPr>
        <w:t>二、服务期限</w:t>
      </w:r>
      <w:bookmarkEnd w:id="0"/>
    </w:p>
    <w:p>
      <w:pPr>
        <w:spacing w:line="360" w:lineRule="auto"/>
        <w:ind w:firstLine="480" w:firstLineChars="200"/>
        <w:rPr>
          <w:rFonts w:hint="eastAsia" w:ascii="宋体" w:hAnsi="宋体" w:eastAsia="宋体" w:cs="仿宋"/>
          <w:sz w:val="24"/>
          <w:szCs w:val="24"/>
          <w:lang w:val="en-US" w:eastAsia="zh-CN"/>
        </w:rPr>
      </w:pPr>
      <w:r>
        <w:rPr>
          <w:rFonts w:hint="eastAsia" w:ascii="宋体" w:hAnsi="宋体" w:cs="仿宋"/>
          <w:sz w:val="24"/>
          <w:szCs w:val="24"/>
          <w:lang w:val="en-US" w:eastAsia="zh-CN"/>
        </w:rPr>
        <w:t>自合同签订后30日内。</w:t>
      </w:r>
    </w:p>
    <w:p>
      <w:pPr>
        <w:pStyle w:val="4"/>
        <w:numPr>
          <w:ilvl w:val="1"/>
          <w:numId w:val="0"/>
        </w:numPr>
        <w:ind w:leftChars="0"/>
        <w:jc w:val="left"/>
        <w:rPr>
          <w:rFonts w:hint="eastAsia" w:ascii="宋体" w:hAnsi="宋体" w:eastAsia="宋体" w:cs="宋体"/>
          <w:b/>
          <w:bCs/>
          <w:sz w:val="24"/>
          <w:szCs w:val="24"/>
          <w:lang w:val="en-US" w:eastAsia="zh-CN"/>
        </w:rPr>
      </w:pPr>
      <w:bookmarkStart w:id="1" w:name="_Toc10996"/>
      <w:r>
        <w:rPr>
          <w:rFonts w:hint="eastAsia" w:ascii="宋体" w:hAnsi="宋体" w:eastAsia="宋体" w:cs="宋体"/>
          <w:b/>
          <w:bCs/>
          <w:sz w:val="24"/>
          <w:szCs w:val="24"/>
          <w:lang w:val="en-US" w:eastAsia="zh-CN"/>
        </w:rPr>
        <w:t>三、报价要求</w:t>
      </w:r>
      <w:bookmarkEnd w:id="1"/>
    </w:p>
    <w:p>
      <w:pPr>
        <w:spacing w:line="360" w:lineRule="auto"/>
        <w:ind w:firstLine="200"/>
        <w:rPr>
          <w:rFonts w:hint="eastAsia" w:ascii="宋体" w:hAnsi="宋体" w:cs="宋体"/>
          <w:sz w:val="24"/>
          <w:szCs w:val="24"/>
        </w:rPr>
      </w:pPr>
      <w:r>
        <w:rPr>
          <w:rFonts w:hint="eastAsia" w:ascii="宋体" w:hAnsi="宋体" w:cs="宋体"/>
          <w:sz w:val="24"/>
          <w:szCs w:val="24"/>
        </w:rPr>
        <w:t>1、投标人的投标报价应包括</w:t>
      </w:r>
      <w:r>
        <w:rPr>
          <w:rFonts w:hint="eastAsia" w:ascii="宋体" w:hAnsi="宋体" w:cs="宋体"/>
          <w:sz w:val="24"/>
          <w:szCs w:val="24"/>
          <w:lang w:val="en-US" w:eastAsia="zh-CN"/>
        </w:rPr>
        <w:t>检测过程产生</w:t>
      </w:r>
      <w:r>
        <w:rPr>
          <w:rFonts w:hint="eastAsia" w:ascii="宋体" w:hAnsi="宋体" w:cs="宋体"/>
          <w:sz w:val="24"/>
          <w:szCs w:val="24"/>
        </w:rPr>
        <w:t>的所有费用</w:t>
      </w:r>
      <w:r>
        <w:rPr>
          <w:rFonts w:hint="eastAsia" w:ascii="宋体" w:hAnsi="宋体" w:cs="宋体"/>
          <w:sz w:val="24"/>
          <w:szCs w:val="24"/>
          <w:lang w:eastAsia="zh-CN"/>
        </w:rPr>
        <w:t>（包括第三方检测机构复核工作）</w:t>
      </w:r>
      <w:r>
        <w:rPr>
          <w:rFonts w:hint="eastAsia" w:ascii="宋体" w:hAnsi="宋体" w:cs="宋体"/>
          <w:sz w:val="24"/>
          <w:szCs w:val="24"/>
        </w:rPr>
        <w:t>。</w:t>
      </w:r>
    </w:p>
    <w:p>
      <w:pPr>
        <w:spacing w:line="360" w:lineRule="auto"/>
        <w:ind w:firstLine="200"/>
        <w:rPr>
          <w:rFonts w:hint="eastAsia" w:ascii="宋体" w:hAnsi="宋体" w:cs="宋体"/>
          <w:sz w:val="24"/>
          <w:szCs w:val="24"/>
        </w:rPr>
      </w:pPr>
      <w:r>
        <w:rPr>
          <w:rFonts w:hint="eastAsia" w:ascii="宋体" w:hAnsi="宋体" w:cs="宋体"/>
          <w:sz w:val="24"/>
          <w:szCs w:val="24"/>
          <w:lang w:val="en-US" w:eastAsia="zh-CN"/>
        </w:rPr>
        <w:t>2</w:t>
      </w:r>
      <w:r>
        <w:rPr>
          <w:rFonts w:hint="eastAsia" w:ascii="宋体" w:hAnsi="宋体" w:cs="宋体"/>
          <w:sz w:val="24"/>
          <w:szCs w:val="24"/>
        </w:rPr>
        <w:t>、投标人应自行</w:t>
      </w:r>
      <w:r>
        <w:rPr>
          <w:rFonts w:hint="eastAsia" w:ascii="宋体" w:hAnsi="宋体" w:cs="宋体"/>
          <w:sz w:val="24"/>
          <w:szCs w:val="24"/>
          <w:lang w:eastAsia="zh-CN"/>
        </w:rPr>
        <w:t>勘察</w:t>
      </w:r>
      <w:r>
        <w:rPr>
          <w:rFonts w:hint="eastAsia" w:ascii="宋体" w:hAnsi="宋体" w:cs="宋体"/>
          <w:sz w:val="24"/>
          <w:szCs w:val="24"/>
        </w:rPr>
        <w:t>现场，充分了解本项目的招标范围及内容。</w:t>
      </w:r>
    </w:p>
    <w:p>
      <w:pPr>
        <w:spacing w:line="360" w:lineRule="auto"/>
        <w:ind w:firstLine="200"/>
        <w:rPr>
          <w:rFonts w:hint="eastAsia" w:ascii="宋体" w:hAnsi="宋体" w:eastAsia="宋体" w:cs="宋体"/>
          <w:sz w:val="24"/>
          <w:szCs w:val="24"/>
          <w:lang w:eastAsia="zh-CN"/>
        </w:rPr>
      </w:pPr>
      <w:r>
        <w:rPr>
          <w:rFonts w:hint="eastAsia" w:ascii="宋体" w:hAnsi="宋体" w:cs="宋体"/>
          <w:sz w:val="24"/>
          <w:szCs w:val="24"/>
          <w:lang w:val="en-US" w:eastAsia="zh-CN"/>
        </w:rPr>
        <w:t>3</w:t>
      </w:r>
      <w:r>
        <w:rPr>
          <w:rFonts w:hint="eastAsia" w:ascii="宋体" w:hAnsi="宋体" w:cs="宋体"/>
          <w:sz w:val="24"/>
          <w:szCs w:val="24"/>
        </w:rPr>
        <w:t>、投标人应充分考虑项目履约期间的市场、政策等因素影响，将所有风险考虑在投标报</w:t>
      </w:r>
      <w:r>
        <w:rPr>
          <w:rFonts w:hint="eastAsia" w:ascii="宋体" w:hAnsi="宋体" w:cs="宋体"/>
          <w:sz w:val="24"/>
          <w:szCs w:val="24"/>
          <w:lang w:eastAsia="zh-CN"/>
        </w:rPr>
        <w:t>价范围内。</w:t>
      </w:r>
    </w:p>
    <w:p>
      <w:pPr>
        <w:pStyle w:val="7"/>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四、成果要求</w:t>
      </w:r>
    </w:p>
    <w:p>
      <w:pPr>
        <w:pStyle w:val="7"/>
        <w:rPr>
          <w:rFonts w:hint="eastAsia" w:ascii="宋体" w:hAnsi="宋体" w:eastAsia="宋体" w:cs="宋体"/>
          <w:b/>
          <w:bCs/>
          <w:sz w:val="24"/>
          <w:szCs w:val="24"/>
          <w:lang w:val="en-US" w:eastAsia="zh-CN"/>
        </w:rPr>
      </w:pPr>
    </w:p>
    <w:p>
      <w:pPr>
        <w:pStyle w:val="7"/>
        <w:ind w:firstLine="480" w:firstLineChars="200"/>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编制检测报告，同时对所有的原始佐证资料（原始记录、存档报告、现场照片等）质控文件及材料进行留存，以备检查。</w:t>
      </w:r>
    </w:p>
    <w:p>
      <w:pPr>
        <w:pStyle w:val="7"/>
        <w:rPr>
          <w:rFonts w:hint="eastAsia" w:ascii="宋体" w:hAnsi="宋体" w:eastAsia="宋体" w:cs="宋体"/>
          <w:b/>
          <w:bCs/>
          <w:kern w:val="0"/>
          <w:sz w:val="24"/>
          <w:szCs w:val="24"/>
          <w:lang w:val="en-US" w:eastAsia="zh-CN"/>
        </w:rPr>
      </w:pPr>
    </w:p>
    <w:p>
      <w:pPr>
        <w:pStyle w:val="7"/>
        <w:numPr>
          <w:ilvl w:val="0"/>
          <w:numId w:val="1"/>
        </w:numP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服务需求</w:t>
      </w:r>
    </w:p>
    <w:p>
      <w:pPr>
        <w:pStyle w:val="7"/>
        <w:numPr>
          <w:ilvl w:val="0"/>
          <w:numId w:val="2"/>
        </w:numPr>
        <w:ind w:left="210" w:firstLine="0"/>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检测设备清单</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7"/>
        <w:gridCol w:w="2896"/>
        <w:gridCol w:w="802"/>
        <w:gridCol w:w="1890"/>
        <w:gridCol w:w="1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1239"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序号</w:t>
            </w:r>
          </w:p>
        </w:tc>
        <w:tc>
          <w:tcPr>
            <w:tcW w:w="3605"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设备名称</w:t>
            </w:r>
          </w:p>
        </w:tc>
        <w:tc>
          <w:tcPr>
            <w:tcW w:w="913" w:type="dxa"/>
            <w:noWrap w:val="0"/>
            <w:vAlign w:val="center"/>
          </w:tcPr>
          <w:p>
            <w:pP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数量</w:t>
            </w:r>
          </w:p>
        </w:tc>
        <w:tc>
          <w:tcPr>
            <w:tcW w:w="2352"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放射诊断设备放射防护检测</w:t>
            </w:r>
          </w:p>
        </w:tc>
        <w:tc>
          <w:tcPr>
            <w:tcW w:w="2349" w:type="dxa"/>
            <w:noWrap w:val="0"/>
            <w:vAlign w:val="top"/>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放射诊疗场所放射防护检测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0458" w:type="dxa"/>
            <w:gridSpan w:val="5"/>
            <w:noWrap w:val="0"/>
            <w:vAlign w:val="top"/>
          </w:tcPr>
          <w:p>
            <w:pP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一、放射治疗设备部分：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239" w:type="dxa"/>
            <w:noWrap w:val="0"/>
            <w:vAlign w:val="top"/>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w:t>
            </w:r>
          </w:p>
        </w:tc>
        <w:tc>
          <w:tcPr>
            <w:tcW w:w="3605" w:type="dxa"/>
            <w:noWrap w:val="0"/>
            <w:vAlign w:val="top"/>
          </w:tcPr>
          <w:p>
            <w:pPr>
              <w:jc w:val="center"/>
              <w:rPr>
                <w:rFonts w:hint="default" w:ascii="Times New Roman" w:hAnsi="Times New Roman" w:cs="Times New Roman"/>
                <w:sz w:val="24"/>
                <w:szCs w:val="24"/>
                <w:vertAlign w:val="baseline"/>
                <w:lang w:val="en-US" w:eastAsia="zh-CN"/>
              </w:rPr>
            </w:pPr>
            <w:r>
              <w:rPr>
                <w:rFonts w:ascii="Times New Roman" w:hAnsi="Times New Roman" w:eastAsia="仿宋" w:cs="Times New Roman"/>
                <w:sz w:val="24"/>
                <w:szCs w:val="24"/>
                <w:lang w:eastAsia="zh-CN"/>
              </w:rPr>
              <w:t>医用电子</w:t>
            </w:r>
            <w:r>
              <w:rPr>
                <w:rFonts w:hint="eastAsia" w:eastAsia="仿宋" w:cs="Times New Roman"/>
                <w:sz w:val="24"/>
                <w:szCs w:val="24"/>
                <w:lang w:eastAsia="zh-CN"/>
              </w:rPr>
              <w:t>直线</w:t>
            </w:r>
            <w:r>
              <w:rPr>
                <w:rFonts w:ascii="Times New Roman" w:hAnsi="Times New Roman" w:eastAsia="仿宋" w:cs="Times New Roman"/>
                <w:sz w:val="24"/>
                <w:szCs w:val="24"/>
                <w:lang w:eastAsia="zh-CN"/>
              </w:rPr>
              <w:t>加速器</w:t>
            </w:r>
          </w:p>
        </w:tc>
        <w:tc>
          <w:tcPr>
            <w:tcW w:w="913" w:type="dxa"/>
            <w:noWrap w:val="0"/>
            <w:vAlign w:val="top"/>
          </w:tcPr>
          <w:p>
            <w:pPr>
              <w:jc w:val="center"/>
              <w:rPr>
                <w:rFonts w:hint="default" w:ascii="Times New Roman" w:hAnsi="Times New Roman" w:cs="Times New Roman"/>
                <w:sz w:val="24"/>
                <w:szCs w:val="24"/>
                <w:vertAlign w:val="baseline"/>
                <w:lang w:val="en-US" w:eastAsia="zh-CN"/>
              </w:rPr>
            </w:pPr>
            <w:r>
              <w:rPr>
                <w:rFonts w:hint="eastAsia" w:cs="Times New Roman"/>
                <w:sz w:val="24"/>
                <w:szCs w:val="24"/>
                <w:vertAlign w:val="baseline"/>
                <w:lang w:val="en-US" w:eastAsia="zh-CN"/>
              </w:rPr>
              <w:t>1</w:t>
            </w:r>
          </w:p>
        </w:tc>
        <w:tc>
          <w:tcPr>
            <w:tcW w:w="2352" w:type="dxa"/>
            <w:noWrap w:val="0"/>
            <w:vAlign w:val="top"/>
          </w:tcPr>
          <w:p>
            <w:pPr>
              <w:rPr>
                <w:rFonts w:hint="eastAsia"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w:t>
            </w:r>
          </w:p>
        </w:tc>
        <w:tc>
          <w:tcPr>
            <w:tcW w:w="2349" w:type="dxa"/>
            <w:noWrap w:val="0"/>
            <w:vAlign w:val="top"/>
          </w:tcPr>
          <w:p>
            <w:pP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0458" w:type="dxa"/>
            <w:gridSpan w:val="5"/>
            <w:noWrap w:val="0"/>
            <w:vAlign w:val="top"/>
          </w:tcPr>
          <w:p>
            <w:pP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二、放射诊断设备部分：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9" w:type="dxa"/>
            <w:noWrap w:val="0"/>
            <w:vAlign w:val="top"/>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w:t>
            </w:r>
          </w:p>
        </w:tc>
        <w:tc>
          <w:tcPr>
            <w:tcW w:w="3605" w:type="dxa"/>
            <w:noWrap w:val="0"/>
            <w:vAlign w:val="top"/>
          </w:tcPr>
          <w:p>
            <w:pPr>
              <w:jc w:val="center"/>
              <w:rPr>
                <w:rFonts w:ascii="Times New Roman" w:hAnsi="Times New Roman" w:eastAsia="仿宋" w:cs="Times New Roman"/>
                <w:sz w:val="24"/>
                <w:szCs w:val="24"/>
                <w:lang w:eastAsia="zh-CN"/>
              </w:rPr>
            </w:pPr>
            <w:r>
              <w:rPr>
                <w:rFonts w:hint="eastAsia" w:eastAsia="仿宋" w:cs="Times New Roman"/>
                <w:sz w:val="24"/>
                <w:szCs w:val="24"/>
                <w:lang w:eastAsia="zh-CN"/>
              </w:rPr>
              <w:t>乳腺</w:t>
            </w:r>
            <w:r>
              <w:rPr>
                <w:rFonts w:hint="eastAsia" w:eastAsia="仿宋" w:cs="Times New Roman"/>
                <w:sz w:val="24"/>
                <w:szCs w:val="24"/>
                <w:lang w:val="en-US" w:eastAsia="zh-CN"/>
              </w:rPr>
              <w:t>X射线机</w:t>
            </w:r>
          </w:p>
        </w:tc>
        <w:tc>
          <w:tcPr>
            <w:tcW w:w="913" w:type="dxa"/>
            <w:noWrap w:val="0"/>
            <w:vAlign w:val="top"/>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w:t>
            </w:r>
          </w:p>
        </w:tc>
        <w:tc>
          <w:tcPr>
            <w:tcW w:w="2352" w:type="dxa"/>
            <w:noWrap w:val="0"/>
            <w:vAlign w:val="top"/>
          </w:tcPr>
          <w:p>
            <w:pP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w:t>
            </w:r>
          </w:p>
        </w:tc>
        <w:tc>
          <w:tcPr>
            <w:tcW w:w="2349" w:type="dxa"/>
            <w:noWrap w:val="0"/>
            <w:vAlign w:val="top"/>
          </w:tcPr>
          <w:p>
            <w:pP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239" w:type="dxa"/>
            <w:noWrap w:val="0"/>
            <w:vAlign w:val="top"/>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w:t>
            </w:r>
          </w:p>
        </w:tc>
        <w:tc>
          <w:tcPr>
            <w:tcW w:w="3605" w:type="dxa"/>
            <w:noWrap w:val="0"/>
            <w:vAlign w:val="top"/>
          </w:tcPr>
          <w:p>
            <w:pPr>
              <w:jc w:val="center"/>
              <w:rPr>
                <w:rFonts w:ascii="Times New Roman" w:hAnsi="Times New Roman" w:eastAsia="仿宋" w:cs="Times New Roman"/>
                <w:sz w:val="24"/>
                <w:szCs w:val="24"/>
                <w:lang w:eastAsia="zh-CN"/>
              </w:rPr>
            </w:pPr>
            <w:r>
              <w:rPr>
                <w:rFonts w:ascii="Times New Roman" w:hAnsi="Times New Roman" w:eastAsia="仿宋" w:cs="Times New Roman"/>
                <w:sz w:val="24"/>
                <w:szCs w:val="24"/>
                <w:lang w:eastAsia="zh-CN"/>
              </w:rPr>
              <w:t>Ｘ射线</w:t>
            </w:r>
            <w:r>
              <w:rPr>
                <w:rFonts w:hint="eastAsia" w:eastAsia="仿宋" w:cs="Times New Roman"/>
                <w:sz w:val="24"/>
                <w:szCs w:val="24"/>
                <w:lang w:eastAsia="zh-CN"/>
              </w:rPr>
              <w:t>摄片</w:t>
            </w:r>
            <w:r>
              <w:rPr>
                <w:rFonts w:ascii="Times New Roman" w:hAnsi="Times New Roman" w:eastAsia="仿宋" w:cs="Times New Roman"/>
                <w:sz w:val="24"/>
                <w:szCs w:val="24"/>
                <w:lang w:eastAsia="zh-CN"/>
              </w:rPr>
              <w:t>机</w:t>
            </w:r>
          </w:p>
        </w:tc>
        <w:tc>
          <w:tcPr>
            <w:tcW w:w="913" w:type="dxa"/>
            <w:noWrap w:val="0"/>
            <w:vAlign w:val="top"/>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w:t>
            </w:r>
          </w:p>
        </w:tc>
        <w:tc>
          <w:tcPr>
            <w:tcW w:w="2352" w:type="dxa"/>
            <w:noWrap w:val="0"/>
            <w:vAlign w:val="top"/>
          </w:tcPr>
          <w:p>
            <w:pP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w:t>
            </w:r>
          </w:p>
        </w:tc>
        <w:tc>
          <w:tcPr>
            <w:tcW w:w="2349" w:type="dxa"/>
            <w:noWrap w:val="0"/>
            <w:vAlign w:val="top"/>
          </w:tcPr>
          <w:p>
            <w:pP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239" w:type="dxa"/>
            <w:noWrap w:val="0"/>
            <w:vAlign w:val="top"/>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3</w:t>
            </w:r>
          </w:p>
        </w:tc>
        <w:tc>
          <w:tcPr>
            <w:tcW w:w="3605" w:type="dxa"/>
            <w:noWrap w:val="0"/>
            <w:vAlign w:val="top"/>
          </w:tcPr>
          <w:p>
            <w:pPr>
              <w:jc w:val="center"/>
              <w:rPr>
                <w:rFonts w:ascii="Times New Roman" w:hAnsi="Times New Roman" w:eastAsia="仿宋" w:cs="Times New Roman"/>
                <w:sz w:val="24"/>
                <w:szCs w:val="24"/>
                <w:lang w:eastAsia="zh-CN"/>
              </w:rPr>
            </w:pPr>
            <w:r>
              <w:rPr>
                <w:rFonts w:ascii="Times New Roman" w:hAnsi="Times New Roman" w:eastAsia="仿宋" w:cs="Times New Roman"/>
                <w:sz w:val="24"/>
                <w:szCs w:val="24"/>
                <w:lang w:eastAsia="zh-CN"/>
              </w:rPr>
              <w:t>DR设备</w:t>
            </w:r>
          </w:p>
        </w:tc>
        <w:tc>
          <w:tcPr>
            <w:tcW w:w="913" w:type="dxa"/>
            <w:noWrap w:val="0"/>
            <w:vAlign w:val="top"/>
          </w:tcPr>
          <w:p>
            <w:pPr>
              <w:jc w:val="center"/>
              <w:rPr>
                <w:rFonts w:hint="default" w:ascii="Times New Roman" w:hAnsi="Times New Roman" w:cs="Times New Roman"/>
                <w:sz w:val="24"/>
                <w:szCs w:val="24"/>
                <w:vertAlign w:val="baseline"/>
                <w:lang w:val="en-US" w:eastAsia="zh-CN"/>
              </w:rPr>
            </w:pPr>
            <w:r>
              <w:rPr>
                <w:rFonts w:hint="eastAsia" w:cs="Times New Roman"/>
                <w:sz w:val="24"/>
                <w:szCs w:val="24"/>
                <w:vertAlign w:val="baseline"/>
                <w:lang w:val="en-US" w:eastAsia="zh-CN"/>
              </w:rPr>
              <w:t>3</w:t>
            </w:r>
          </w:p>
        </w:tc>
        <w:tc>
          <w:tcPr>
            <w:tcW w:w="2352" w:type="dxa"/>
            <w:noWrap w:val="0"/>
            <w:vAlign w:val="top"/>
          </w:tcPr>
          <w:p>
            <w:pP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w:t>
            </w:r>
          </w:p>
        </w:tc>
        <w:tc>
          <w:tcPr>
            <w:tcW w:w="2349" w:type="dxa"/>
            <w:noWrap w:val="0"/>
            <w:vAlign w:val="top"/>
          </w:tcPr>
          <w:p>
            <w:pP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239" w:type="dxa"/>
            <w:noWrap w:val="0"/>
            <w:vAlign w:val="top"/>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4</w:t>
            </w:r>
          </w:p>
        </w:tc>
        <w:tc>
          <w:tcPr>
            <w:tcW w:w="3605" w:type="dxa"/>
            <w:noWrap w:val="0"/>
            <w:vAlign w:val="top"/>
          </w:tcPr>
          <w:p>
            <w:pPr>
              <w:jc w:val="center"/>
              <w:rPr>
                <w:rFonts w:ascii="Times New Roman" w:hAnsi="Times New Roman" w:eastAsia="仿宋" w:cs="Times New Roman"/>
                <w:sz w:val="24"/>
                <w:szCs w:val="24"/>
                <w:lang w:eastAsia="zh-CN"/>
              </w:rPr>
            </w:pPr>
            <w:r>
              <w:rPr>
                <w:rFonts w:hint="eastAsia" w:ascii="宋体" w:hAnsi="宋体" w:cs="宋体"/>
                <w:color w:val="000000"/>
                <w:kern w:val="0"/>
                <w:sz w:val="24"/>
                <w:szCs w:val="24"/>
                <w:lang w:eastAsia="zh-CN"/>
              </w:rPr>
              <w:t>牙科全景机</w:t>
            </w:r>
          </w:p>
        </w:tc>
        <w:tc>
          <w:tcPr>
            <w:tcW w:w="913" w:type="dxa"/>
            <w:noWrap w:val="0"/>
            <w:vAlign w:val="top"/>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w:t>
            </w:r>
          </w:p>
        </w:tc>
        <w:tc>
          <w:tcPr>
            <w:tcW w:w="2352" w:type="dxa"/>
            <w:noWrap w:val="0"/>
            <w:vAlign w:val="top"/>
          </w:tcPr>
          <w:p>
            <w:pP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w:t>
            </w:r>
          </w:p>
        </w:tc>
        <w:tc>
          <w:tcPr>
            <w:tcW w:w="2349" w:type="dxa"/>
            <w:noWrap w:val="0"/>
            <w:vAlign w:val="top"/>
          </w:tcPr>
          <w:p>
            <w:pP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239" w:type="dxa"/>
            <w:noWrap w:val="0"/>
            <w:vAlign w:val="top"/>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5</w:t>
            </w:r>
          </w:p>
        </w:tc>
        <w:tc>
          <w:tcPr>
            <w:tcW w:w="3605" w:type="dxa"/>
            <w:noWrap w:val="0"/>
            <w:vAlign w:val="top"/>
          </w:tcPr>
          <w:p>
            <w:pPr>
              <w:jc w:val="center"/>
              <w:rPr>
                <w:rFonts w:ascii="Times New Roman" w:hAnsi="Times New Roman" w:eastAsia="仿宋" w:cs="Times New Roman"/>
                <w:sz w:val="24"/>
                <w:szCs w:val="24"/>
                <w:lang w:eastAsia="zh-CN"/>
              </w:rPr>
            </w:pPr>
            <w:r>
              <w:rPr>
                <w:rFonts w:ascii="Times New Roman" w:hAnsi="Times New Roman" w:eastAsia="仿宋" w:cs="Times New Roman"/>
                <w:sz w:val="24"/>
                <w:szCs w:val="24"/>
                <w:lang w:eastAsia="zh-CN"/>
              </w:rPr>
              <w:t>CT机</w:t>
            </w:r>
          </w:p>
        </w:tc>
        <w:tc>
          <w:tcPr>
            <w:tcW w:w="913" w:type="dxa"/>
            <w:noWrap w:val="0"/>
            <w:vAlign w:val="top"/>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w:t>
            </w:r>
          </w:p>
        </w:tc>
        <w:tc>
          <w:tcPr>
            <w:tcW w:w="2352" w:type="dxa"/>
            <w:noWrap w:val="0"/>
            <w:vAlign w:val="top"/>
          </w:tcPr>
          <w:p>
            <w:pP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w:t>
            </w:r>
          </w:p>
        </w:tc>
        <w:tc>
          <w:tcPr>
            <w:tcW w:w="2349" w:type="dxa"/>
            <w:noWrap w:val="0"/>
            <w:vAlign w:val="top"/>
          </w:tcPr>
          <w:p>
            <w:pP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239" w:type="dxa"/>
            <w:noWrap w:val="0"/>
            <w:vAlign w:val="top"/>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6</w:t>
            </w:r>
          </w:p>
        </w:tc>
        <w:tc>
          <w:tcPr>
            <w:tcW w:w="3605" w:type="dxa"/>
            <w:noWrap w:val="0"/>
            <w:vAlign w:val="top"/>
          </w:tcPr>
          <w:p>
            <w:pPr>
              <w:jc w:val="center"/>
              <w:rPr>
                <w:rFonts w:ascii="Times New Roman" w:hAnsi="Times New Roman" w:eastAsia="仿宋" w:cs="Times New Roman"/>
                <w:sz w:val="24"/>
                <w:szCs w:val="24"/>
                <w:lang w:eastAsia="zh-CN"/>
              </w:rPr>
            </w:pPr>
            <w:r>
              <w:rPr>
                <w:rFonts w:ascii="Times New Roman" w:hAnsi="Times New Roman" w:eastAsia="仿宋" w:cs="Times New Roman"/>
                <w:sz w:val="24"/>
                <w:szCs w:val="24"/>
                <w:lang w:eastAsia="zh-CN"/>
              </w:rPr>
              <w:t>DSA设备</w:t>
            </w:r>
          </w:p>
        </w:tc>
        <w:tc>
          <w:tcPr>
            <w:tcW w:w="913" w:type="dxa"/>
            <w:noWrap w:val="0"/>
            <w:vAlign w:val="top"/>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w:t>
            </w:r>
          </w:p>
        </w:tc>
        <w:tc>
          <w:tcPr>
            <w:tcW w:w="2352" w:type="dxa"/>
            <w:noWrap w:val="0"/>
            <w:vAlign w:val="top"/>
          </w:tcPr>
          <w:p>
            <w:pP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w:t>
            </w:r>
          </w:p>
        </w:tc>
        <w:tc>
          <w:tcPr>
            <w:tcW w:w="2349" w:type="dxa"/>
            <w:noWrap w:val="0"/>
            <w:vAlign w:val="top"/>
          </w:tcPr>
          <w:p>
            <w:pP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w:t>
            </w:r>
          </w:p>
        </w:tc>
      </w:tr>
    </w:tbl>
    <w:tbl>
      <w:tblPr>
        <w:tblStyle w:val="8"/>
        <w:tblpPr w:leftFromText="180" w:rightFromText="180" w:vertAnchor="text" w:horzAnchor="margin" w:tblpXSpec="center" w:tblpY="511"/>
        <w:tblW w:w="10506" w:type="dxa"/>
        <w:tblInd w:w="2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44"/>
        <w:gridCol w:w="1722"/>
        <w:gridCol w:w="2395"/>
        <w:gridCol w:w="2333"/>
        <w:gridCol w:w="2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56" w:type="dxa"/>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序号</w:t>
            </w:r>
          </w:p>
        </w:tc>
        <w:tc>
          <w:tcPr>
            <w:tcW w:w="744" w:type="dxa"/>
            <w:noWrap w:val="0"/>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检测设备数量</w:t>
            </w:r>
          </w:p>
        </w:tc>
        <w:tc>
          <w:tcPr>
            <w:tcW w:w="1722" w:type="dxa"/>
            <w:noWrap w:val="0"/>
            <w:vAlign w:val="center"/>
          </w:tcPr>
          <w:p>
            <w:pPr>
              <w:widowControl/>
              <w:jc w:val="center"/>
              <w:rPr>
                <w:rFonts w:hint="eastAsia" w:ascii="宋体" w:hAnsi="宋体" w:cs="宋体"/>
                <w:b w:val="0"/>
                <w:bCs w:val="0"/>
                <w:color w:val="auto"/>
                <w:kern w:val="0"/>
                <w:sz w:val="24"/>
                <w:szCs w:val="24"/>
                <w:lang w:eastAsia="zh-CN"/>
              </w:rPr>
            </w:pPr>
            <w:r>
              <w:rPr>
                <w:rFonts w:hint="eastAsia" w:ascii="宋体" w:hAnsi="宋体" w:cs="宋体"/>
                <w:b w:val="0"/>
                <w:bCs w:val="0"/>
                <w:color w:val="auto"/>
                <w:kern w:val="0"/>
                <w:sz w:val="24"/>
                <w:szCs w:val="24"/>
                <w:lang w:eastAsia="zh-CN"/>
              </w:rPr>
              <w:t>监测点</w:t>
            </w:r>
          </w:p>
          <w:p>
            <w:pPr>
              <w:widowControl/>
              <w:jc w:val="both"/>
              <w:rPr>
                <w:rFonts w:hint="eastAsia" w:ascii="宋体" w:hAnsi="宋体" w:eastAsia="宋体" w:cs="宋体"/>
                <w:b w:val="0"/>
                <w:bCs w:val="0"/>
                <w:color w:val="auto"/>
                <w:kern w:val="0"/>
                <w:sz w:val="24"/>
                <w:szCs w:val="24"/>
                <w:lang w:eastAsia="zh-CN"/>
              </w:rPr>
            </w:pPr>
            <w:r>
              <w:rPr>
                <w:rFonts w:hint="eastAsia" w:ascii="宋体" w:hAnsi="宋体" w:cs="宋体"/>
                <w:b w:val="0"/>
                <w:bCs w:val="0"/>
                <w:color w:val="auto"/>
                <w:kern w:val="0"/>
                <w:sz w:val="24"/>
                <w:szCs w:val="24"/>
              </w:rPr>
              <w:t>医疗机构</w:t>
            </w:r>
            <w:r>
              <w:rPr>
                <w:rFonts w:hint="eastAsia" w:ascii="宋体" w:hAnsi="宋体" w:cs="宋体"/>
                <w:b w:val="0"/>
                <w:bCs w:val="0"/>
                <w:color w:val="auto"/>
                <w:kern w:val="0"/>
                <w:sz w:val="24"/>
                <w:szCs w:val="24"/>
                <w:lang w:eastAsia="zh-CN"/>
              </w:rPr>
              <w:t>名称</w:t>
            </w:r>
          </w:p>
        </w:tc>
        <w:tc>
          <w:tcPr>
            <w:tcW w:w="2395" w:type="dxa"/>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设备名称</w:t>
            </w:r>
          </w:p>
        </w:tc>
        <w:tc>
          <w:tcPr>
            <w:tcW w:w="2333" w:type="dxa"/>
            <w:noWrap w:val="0"/>
            <w:vAlign w:val="center"/>
          </w:tcPr>
          <w:p>
            <w:pPr>
              <w:widowControl/>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rPr>
              <w:t>设备</w:t>
            </w:r>
            <w:r>
              <w:rPr>
                <w:rFonts w:hint="eastAsia" w:ascii="宋体" w:hAnsi="宋体" w:cs="宋体"/>
                <w:color w:val="000000"/>
                <w:kern w:val="0"/>
                <w:sz w:val="24"/>
                <w:szCs w:val="24"/>
                <w:lang w:eastAsia="zh-CN"/>
              </w:rPr>
              <w:t>地点</w:t>
            </w:r>
          </w:p>
        </w:tc>
        <w:tc>
          <w:tcPr>
            <w:tcW w:w="2856" w:type="dxa"/>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设备型号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56"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1</w:t>
            </w:r>
          </w:p>
        </w:tc>
        <w:tc>
          <w:tcPr>
            <w:tcW w:w="744" w:type="dxa"/>
            <w:vMerge w:val="restart"/>
            <w:noWrap w:val="0"/>
            <w:vAlign w:val="center"/>
          </w:tcPr>
          <w:p>
            <w:pPr>
              <w:widowControl/>
              <w:jc w:val="center"/>
              <w:rPr>
                <w:rFonts w:hint="default" w:ascii="宋体" w:hAnsi="宋体" w:cs="宋体"/>
                <w:color w:val="000000"/>
                <w:kern w:val="0"/>
                <w:sz w:val="24"/>
                <w:szCs w:val="24"/>
                <w:lang w:val="en-US" w:eastAsia="zh-CN"/>
              </w:rPr>
            </w:pPr>
          </w:p>
        </w:tc>
        <w:tc>
          <w:tcPr>
            <w:tcW w:w="1722" w:type="dxa"/>
            <w:vMerge w:val="restart"/>
            <w:noWrap w:val="0"/>
            <w:vAlign w:val="center"/>
          </w:tcPr>
          <w:p>
            <w:pPr>
              <w:widowControl/>
              <w:jc w:val="center"/>
              <w:rPr>
                <w:rFonts w:hint="eastAsia" w:ascii="宋体" w:hAnsi="宋体" w:cs="宋体"/>
                <w:b w:val="0"/>
                <w:bCs w:val="0"/>
                <w:color w:val="auto"/>
                <w:kern w:val="0"/>
                <w:sz w:val="24"/>
                <w:szCs w:val="24"/>
                <w:lang w:eastAsia="zh-CN"/>
              </w:rPr>
            </w:pPr>
            <w:r>
              <w:rPr>
                <w:rFonts w:hint="eastAsia" w:ascii="宋体" w:hAnsi="宋体" w:cs="宋体"/>
                <w:b w:val="0"/>
                <w:bCs w:val="0"/>
                <w:color w:val="auto"/>
                <w:kern w:val="0"/>
                <w:sz w:val="24"/>
                <w:szCs w:val="24"/>
                <w:lang w:eastAsia="zh-CN"/>
              </w:rPr>
              <w:t>市</w:t>
            </w:r>
            <w:r>
              <w:rPr>
                <w:rFonts w:hint="eastAsia" w:ascii="宋体" w:hAnsi="宋体" w:cs="宋体"/>
                <w:b w:val="0"/>
                <w:bCs w:val="0"/>
                <w:color w:val="auto"/>
                <w:kern w:val="0"/>
                <w:sz w:val="24"/>
                <w:szCs w:val="24"/>
              </w:rPr>
              <w:t>人民医院</w:t>
            </w:r>
          </w:p>
          <w:p>
            <w:pPr>
              <w:widowControl/>
              <w:jc w:val="center"/>
              <w:rPr>
                <w:rFonts w:hint="eastAsia" w:ascii="宋体" w:hAnsi="宋体" w:cs="宋体"/>
                <w:b w:val="0"/>
                <w:bCs w:val="0"/>
                <w:color w:val="auto"/>
                <w:kern w:val="0"/>
                <w:sz w:val="24"/>
                <w:szCs w:val="24"/>
              </w:rPr>
            </w:pPr>
          </w:p>
        </w:tc>
        <w:tc>
          <w:tcPr>
            <w:tcW w:w="2395" w:type="dxa"/>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医用电子直线加速器</w:t>
            </w:r>
          </w:p>
        </w:tc>
        <w:tc>
          <w:tcPr>
            <w:tcW w:w="2333" w:type="dxa"/>
            <w:noWrap w:val="0"/>
            <w:vAlign w:val="center"/>
          </w:tcPr>
          <w:p>
            <w:pPr>
              <w:widowControl/>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eastAsia="zh-CN"/>
              </w:rPr>
              <w:t>门诊部影像楼</w:t>
            </w:r>
          </w:p>
        </w:tc>
        <w:tc>
          <w:tcPr>
            <w:tcW w:w="2856" w:type="dxa"/>
            <w:noWrap w:val="0"/>
            <w:vAlign w:val="center"/>
          </w:tcPr>
          <w:p>
            <w:pPr>
              <w:widowControl/>
              <w:jc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PECISETABL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56"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2</w:t>
            </w:r>
          </w:p>
        </w:tc>
        <w:tc>
          <w:tcPr>
            <w:tcW w:w="744" w:type="dxa"/>
            <w:vMerge w:val="continue"/>
            <w:noWrap w:val="0"/>
            <w:vAlign w:val="center"/>
          </w:tcPr>
          <w:p>
            <w:pPr>
              <w:widowControl/>
              <w:jc w:val="center"/>
              <w:rPr>
                <w:rFonts w:hint="default" w:ascii="宋体" w:hAnsi="宋体" w:cs="宋体"/>
                <w:color w:val="000000"/>
                <w:kern w:val="0"/>
                <w:sz w:val="24"/>
                <w:szCs w:val="24"/>
                <w:lang w:val="en-US" w:eastAsia="zh-CN"/>
              </w:rPr>
            </w:pPr>
          </w:p>
        </w:tc>
        <w:tc>
          <w:tcPr>
            <w:tcW w:w="1722" w:type="dxa"/>
            <w:vMerge w:val="continue"/>
            <w:noWrap w:val="0"/>
            <w:vAlign w:val="center"/>
          </w:tcPr>
          <w:p>
            <w:pPr>
              <w:widowControl/>
              <w:jc w:val="center"/>
              <w:rPr>
                <w:rFonts w:hint="eastAsia" w:ascii="宋体" w:hAnsi="宋体" w:cs="宋体"/>
                <w:b w:val="0"/>
                <w:bCs w:val="0"/>
                <w:color w:val="auto"/>
                <w:kern w:val="0"/>
                <w:sz w:val="24"/>
                <w:szCs w:val="24"/>
              </w:rPr>
            </w:pPr>
          </w:p>
        </w:tc>
        <w:tc>
          <w:tcPr>
            <w:tcW w:w="2395" w:type="dxa"/>
            <w:noWrap w:val="0"/>
            <w:vAlign w:val="center"/>
          </w:tcPr>
          <w:p>
            <w:pPr>
              <w:widowControl/>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eastAsia="zh-CN"/>
              </w:rPr>
              <w:t>牙科全景机</w:t>
            </w:r>
          </w:p>
        </w:tc>
        <w:tc>
          <w:tcPr>
            <w:tcW w:w="2333" w:type="dxa"/>
            <w:noWrap w:val="0"/>
            <w:vAlign w:val="center"/>
          </w:tcPr>
          <w:p>
            <w:pPr>
              <w:widowControl/>
              <w:jc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门诊部5楼口腔科</w:t>
            </w:r>
          </w:p>
        </w:tc>
        <w:tc>
          <w:tcPr>
            <w:tcW w:w="2856" w:type="dxa"/>
            <w:noWrap w:val="0"/>
            <w:vAlign w:val="center"/>
          </w:tcPr>
          <w:p>
            <w:pPr>
              <w:widowControl/>
              <w:jc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OC200D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56"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3</w:t>
            </w:r>
          </w:p>
        </w:tc>
        <w:tc>
          <w:tcPr>
            <w:tcW w:w="744" w:type="dxa"/>
            <w:vMerge w:val="continue"/>
            <w:noWrap w:val="0"/>
            <w:vAlign w:val="center"/>
          </w:tcPr>
          <w:p>
            <w:pPr>
              <w:widowControl/>
              <w:jc w:val="center"/>
              <w:rPr>
                <w:rFonts w:ascii="宋体" w:hAnsi="宋体" w:cs="宋体"/>
                <w:color w:val="000000"/>
                <w:kern w:val="0"/>
                <w:sz w:val="24"/>
                <w:szCs w:val="24"/>
              </w:rPr>
            </w:pPr>
          </w:p>
        </w:tc>
        <w:tc>
          <w:tcPr>
            <w:tcW w:w="1722" w:type="dxa"/>
            <w:vMerge w:val="continue"/>
            <w:noWrap w:val="0"/>
            <w:vAlign w:val="center"/>
          </w:tcPr>
          <w:p>
            <w:pPr>
              <w:widowControl/>
              <w:jc w:val="center"/>
              <w:rPr>
                <w:rFonts w:ascii="宋体" w:hAnsi="宋体" w:cs="宋体"/>
                <w:b w:val="0"/>
                <w:bCs w:val="0"/>
                <w:color w:val="auto"/>
                <w:kern w:val="0"/>
                <w:sz w:val="24"/>
                <w:szCs w:val="24"/>
              </w:rPr>
            </w:pPr>
          </w:p>
        </w:tc>
        <w:tc>
          <w:tcPr>
            <w:tcW w:w="2395" w:type="dxa"/>
            <w:noWrap w:val="0"/>
            <w:vAlign w:val="center"/>
          </w:tcPr>
          <w:p>
            <w:pPr>
              <w:widowControl/>
              <w:jc w:val="center"/>
              <w:rPr>
                <w:rFonts w:ascii="宋体" w:hAnsi="宋体" w:cs="宋体"/>
                <w:color w:val="000000"/>
                <w:kern w:val="0"/>
                <w:sz w:val="24"/>
                <w:szCs w:val="24"/>
              </w:rPr>
            </w:pPr>
            <w:r>
              <w:rPr>
                <w:rFonts w:hint="eastAsia" w:eastAsia="仿宋" w:cs="Times New Roman"/>
                <w:sz w:val="24"/>
                <w:szCs w:val="24"/>
                <w:lang w:val="en-US" w:eastAsia="zh-CN"/>
              </w:rPr>
              <w:t>256排</w:t>
            </w:r>
            <w:r>
              <w:rPr>
                <w:rFonts w:ascii="Times New Roman" w:hAnsi="Times New Roman" w:eastAsia="仿宋" w:cs="Times New Roman"/>
                <w:sz w:val="24"/>
                <w:szCs w:val="24"/>
                <w:lang w:eastAsia="zh-CN"/>
              </w:rPr>
              <w:t>CT机</w:t>
            </w:r>
          </w:p>
        </w:tc>
        <w:tc>
          <w:tcPr>
            <w:tcW w:w="2333" w:type="dxa"/>
            <w:noWrap w:val="0"/>
            <w:vAlign w:val="center"/>
          </w:tcPr>
          <w:p>
            <w:pPr>
              <w:widowControl/>
              <w:jc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eastAsia="zh-CN"/>
              </w:rPr>
              <w:t>门诊部影像楼</w:t>
            </w:r>
          </w:p>
        </w:tc>
        <w:tc>
          <w:tcPr>
            <w:tcW w:w="2856" w:type="dxa"/>
            <w:noWrap w:val="0"/>
            <w:vAlign w:val="center"/>
          </w:tcPr>
          <w:p>
            <w:pPr>
              <w:widowControl/>
              <w:jc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Brillicance 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56" w:type="dxa"/>
            <w:noWrap w:val="0"/>
            <w:vAlign w:val="center"/>
          </w:tcPr>
          <w:p>
            <w:pPr>
              <w:widowControl/>
              <w:jc w:val="center"/>
              <w:rPr>
                <w:rFonts w:hint="eastAsia" w:ascii="宋体" w:hAnsi="宋体" w:cs="宋体"/>
                <w:color w:val="000000"/>
                <w:kern w:val="0"/>
                <w:sz w:val="24"/>
                <w:szCs w:val="24"/>
                <w:lang w:eastAsia="zh-CN"/>
              </w:rPr>
            </w:pPr>
            <w:r>
              <w:rPr>
                <w:rFonts w:hint="eastAsia" w:ascii="宋体" w:hAnsi="宋体" w:cs="宋体"/>
                <w:color w:val="000000"/>
                <w:kern w:val="0"/>
                <w:sz w:val="24"/>
                <w:szCs w:val="24"/>
                <w:lang w:val="en-US" w:eastAsia="zh-CN"/>
              </w:rPr>
              <w:t>4</w:t>
            </w:r>
          </w:p>
        </w:tc>
        <w:tc>
          <w:tcPr>
            <w:tcW w:w="744" w:type="dxa"/>
            <w:vMerge w:val="continue"/>
            <w:noWrap w:val="0"/>
            <w:vAlign w:val="center"/>
          </w:tcPr>
          <w:p>
            <w:pPr>
              <w:widowControl/>
              <w:jc w:val="center"/>
              <w:rPr>
                <w:rFonts w:ascii="宋体" w:hAnsi="宋体" w:cs="宋体"/>
                <w:color w:val="000000"/>
                <w:kern w:val="0"/>
                <w:sz w:val="24"/>
                <w:szCs w:val="24"/>
              </w:rPr>
            </w:pPr>
          </w:p>
        </w:tc>
        <w:tc>
          <w:tcPr>
            <w:tcW w:w="1722" w:type="dxa"/>
            <w:vMerge w:val="continue"/>
            <w:noWrap w:val="0"/>
            <w:vAlign w:val="center"/>
          </w:tcPr>
          <w:p>
            <w:pPr>
              <w:widowControl/>
              <w:jc w:val="center"/>
              <w:rPr>
                <w:rFonts w:ascii="宋体" w:hAnsi="宋体" w:cs="宋体"/>
                <w:b w:val="0"/>
                <w:bCs w:val="0"/>
                <w:color w:val="auto"/>
                <w:kern w:val="0"/>
                <w:sz w:val="24"/>
                <w:szCs w:val="24"/>
              </w:rPr>
            </w:pPr>
          </w:p>
        </w:tc>
        <w:tc>
          <w:tcPr>
            <w:tcW w:w="2395" w:type="dxa"/>
            <w:noWrap w:val="0"/>
            <w:vAlign w:val="center"/>
          </w:tcPr>
          <w:p>
            <w:pPr>
              <w:widowControl/>
              <w:jc w:val="center"/>
              <w:rPr>
                <w:rFonts w:hint="default" w:ascii="宋体" w:hAnsi="宋体" w:cs="宋体"/>
                <w:color w:val="000000"/>
                <w:kern w:val="0"/>
                <w:sz w:val="24"/>
                <w:szCs w:val="24"/>
                <w:lang w:val="en-US"/>
              </w:rPr>
            </w:pPr>
            <w:r>
              <w:rPr>
                <w:rFonts w:hint="eastAsia" w:eastAsia="仿宋" w:cs="Times New Roman"/>
                <w:sz w:val="24"/>
                <w:szCs w:val="24"/>
                <w:lang w:eastAsia="zh-CN"/>
              </w:rPr>
              <w:t>乳腺</w:t>
            </w:r>
            <w:r>
              <w:rPr>
                <w:rFonts w:hint="eastAsia" w:eastAsia="仿宋" w:cs="Times New Roman"/>
                <w:sz w:val="24"/>
                <w:szCs w:val="24"/>
                <w:lang w:val="en-US" w:eastAsia="zh-CN"/>
              </w:rPr>
              <w:t>X射线机</w:t>
            </w:r>
          </w:p>
        </w:tc>
        <w:tc>
          <w:tcPr>
            <w:tcW w:w="2333" w:type="dxa"/>
            <w:noWrap w:val="0"/>
            <w:vAlign w:val="center"/>
          </w:tcPr>
          <w:p>
            <w:pPr>
              <w:widowControl/>
              <w:jc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住院部2/4楼1楼</w:t>
            </w:r>
          </w:p>
        </w:tc>
        <w:tc>
          <w:tcPr>
            <w:tcW w:w="2856" w:type="dxa"/>
            <w:noWrap w:val="0"/>
            <w:vAlign w:val="center"/>
          </w:tcPr>
          <w:p>
            <w:pPr>
              <w:widowControl/>
              <w:jc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BTW-2100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56" w:type="dxa"/>
            <w:noWrap w:val="0"/>
            <w:vAlign w:val="center"/>
          </w:tcPr>
          <w:p>
            <w:pPr>
              <w:widowControl/>
              <w:jc w:val="center"/>
              <w:rPr>
                <w:rFonts w:hint="default"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5</w:t>
            </w:r>
          </w:p>
        </w:tc>
        <w:tc>
          <w:tcPr>
            <w:tcW w:w="744" w:type="dxa"/>
            <w:vMerge w:val="continue"/>
            <w:noWrap w:val="0"/>
            <w:vAlign w:val="center"/>
          </w:tcPr>
          <w:p>
            <w:pPr>
              <w:widowControl/>
              <w:jc w:val="center"/>
              <w:rPr>
                <w:rFonts w:ascii="宋体" w:hAnsi="宋体" w:cs="宋体"/>
                <w:color w:val="000000"/>
                <w:kern w:val="0"/>
                <w:sz w:val="24"/>
                <w:szCs w:val="24"/>
              </w:rPr>
            </w:pPr>
          </w:p>
        </w:tc>
        <w:tc>
          <w:tcPr>
            <w:tcW w:w="1722" w:type="dxa"/>
            <w:vMerge w:val="continue"/>
            <w:noWrap w:val="0"/>
            <w:vAlign w:val="center"/>
          </w:tcPr>
          <w:p>
            <w:pPr>
              <w:widowControl/>
              <w:jc w:val="center"/>
              <w:rPr>
                <w:rFonts w:hint="eastAsia" w:ascii="宋体" w:hAnsi="宋体" w:cs="宋体"/>
                <w:b w:val="0"/>
                <w:bCs w:val="0"/>
                <w:color w:val="auto"/>
                <w:kern w:val="0"/>
                <w:sz w:val="24"/>
                <w:szCs w:val="24"/>
              </w:rPr>
            </w:pPr>
          </w:p>
        </w:tc>
        <w:tc>
          <w:tcPr>
            <w:tcW w:w="2395" w:type="dxa"/>
            <w:noWrap w:val="0"/>
            <w:vAlign w:val="center"/>
          </w:tcPr>
          <w:p>
            <w:pPr>
              <w:widowControl/>
              <w:jc w:val="center"/>
              <w:rPr>
                <w:rFonts w:hint="eastAsia" w:ascii="宋体" w:hAnsi="宋体" w:cs="宋体"/>
                <w:color w:val="000000"/>
                <w:kern w:val="0"/>
                <w:sz w:val="24"/>
                <w:szCs w:val="24"/>
              </w:rPr>
            </w:pPr>
            <w:r>
              <w:rPr>
                <w:rFonts w:ascii="Times New Roman" w:hAnsi="Times New Roman" w:eastAsia="仿宋" w:cs="Times New Roman"/>
                <w:sz w:val="24"/>
                <w:szCs w:val="24"/>
                <w:lang w:eastAsia="zh-CN"/>
              </w:rPr>
              <w:t>X射线摄</w:t>
            </w:r>
            <w:r>
              <w:rPr>
                <w:rFonts w:hint="eastAsia" w:eastAsia="仿宋" w:cs="Times New Roman"/>
                <w:sz w:val="24"/>
                <w:szCs w:val="24"/>
                <w:lang w:eastAsia="zh-CN"/>
              </w:rPr>
              <w:t>片</w:t>
            </w:r>
            <w:r>
              <w:rPr>
                <w:rFonts w:ascii="Times New Roman" w:hAnsi="Times New Roman" w:eastAsia="仿宋" w:cs="Times New Roman"/>
                <w:sz w:val="24"/>
                <w:szCs w:val="24"/>
                <w:lang w:eastAsia="zh-CN"/>
              </w:rPr>
              <w:t>机</w:t>
            </w:r>
          </w:p>
        </w:tc>
        <w:tc>
          <w:tcPr>
            <w:tcW w:w="2333"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lang w:eastAsia="zh-CN"/>
              </w:rPr>
              <w:t>门诊部影像楼</w:t>
            </w:r>
          </w:p>
        </w:tc>
        <w:tc>
          <w:tcPr>
            <w:tcW w:w="2856" w:type="dxa"/>
            <w:noWrap w:val="0"/>
            <w:vAlign w:val="center"/>
          </w:tcPr>
          <w:p>
            <w:pPr>
              <w:widowControl/>
              <w:jc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MULTIX-PRO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56" w:type="dxa"/>
            <w:noWrap w:val="0"/>
            <w:vAlign w:val="center"/>
          </w:tcPr>
          <w:p>
            <w:pPr>
              <w:widowControl/>
              <w:jc w:val="center"/>
              <w:rPr>
                <w:rFonts w:hint="eastAsia" w:ascii="宋体" w:hAnsi="宋体" w:cs="宋体"/>
                <w:color w:val="000000"/>
                <w:kern w:val="0"/>
                <w:sz w:val="24"/>
                <w:szCs w:val="24"/>
                <w:lang w:eastAsia="zh-CN"/>
              </w:rPr>
            </w:pPr>
            <w:r>
              <w:rPr>
                <w:rFonts w:hint="eastAsia" w:ascii="宋体" w:hAnsi="宋体" w:cs="宋体"/>
                <w:color w:val="000000"/>
                <w:kern w:val="0"/>
                <w:sz w:val="24"/>
                <w:szCs w:val="24"/>
                <w:lang w:val="en-US" w:eastAsia="zh-CN"/>
              </w:rPr>
              <w:t>6</w:t>
            </w:r>
          </w:p>
        </w:tc>
        <w:tc>
          <w:tcPr>
            <w:tcW w:w="744" w:type="dxa"/>
            <w:vMerge w:val="continue"/>
            <w:noWrap w:val="0"/>
            <w:vAlign w:val="center"/>
          </w:tcPr>
          <w:p>
            <w:pPr>
              <w:widowControl/>
              <w:jc w:val="center"/>
              <w:rPr>
                <w:rFonts w:ascii="宋体" w:hAnsi="宋体" w:cs="宋体"/>
                <w:color w:val="000000"/>
                <w:kern w:val="0"/>
                <w:sz w:val="24"/>
                <w:szCs w:val="24"/>
              </w:rPr>
            </w:pPr>
          </w:p>
        </w:tc>
        <w:tc>
          <w:tcPr>
            <w:tcW w:w="1722" w:type="dxa"/>
            <w:vMerge w:val="continue"/>
            <w:noWrap w:val="0"/>
            <w:vAlign w:val="center"/>
          </w:tcPr>
          <w:p>
            <w:pPr>
              <w:widowControl/>
              <w:jc w:val="center"/>
              <w:rPr>
                <w:rFonts w:hint="eastAsia" w:ascii="宋体" w:hAnsi="宋体" w:cs="宋体"/>
                <w:b w:val="0"/>
                <w:bCs w:val="0"/>
                <w:color w:val="auto"/>
                <w:kern w:val="0"/>
                <w:sz w:val="24"/>
                <w:szCs w:val="24"/>
              </w:rPr>
            </w:pPr>
          </w:p>
        </w:tc>
        <w:tc>
          <w:tcPr>
            <w:tcW w:w="2395" w:type="dxa"/>
            <w:noWrap w:val="0"/>
            <w:vAlign w:val="center"/>
          </w:tcPr>
          <w:p>
            <w:pPr>
              <w:widowControl/>
              <w:jc w:val="center"/>
              <w:rPr>
                <w:rFonts w:hint="eastAsia" w:ascii="宋体" w:hAnsi="宋体" w:cs="宋体"/>
                <w:color w:val="000000"/>
                <w:kern w:val="0"/>
                <w:sz w:val="24"/>
                <w:szCs w:val="24"/>
              </w:rPr>
            </w:pPr>
            <w:r>
              <w:rPr>
                <w:rFonts w:ascii="Times New Roman" w:hAnsi="Times New Roman" w:eastAsia="仿宋" w:cs="Times New Roman"/>
                <w:sz w:val="24"/>
                <w:szCs w:val="24"/>
                <w:lang w:eastAsia="zh-CN"/>
              </w:rPr>
              <w:t>DR设备</w:t>
            </w:r>
          </w:p>
        </w:tc>
        <w:tc>
          <w:tcPr>
            <w:tcW w:w="2333" w:type="dxa"/>
            <w:noWrap w:val="0"/>
            <w:vAlign w:val="center"/>
          </w:tcPr>
          <w:p>
            <w:pPr>
              <w:widowControl/>
              <w:jc w:val="center"/>
              <w:rPr>
                <w:rFonts w:hint="default" w:ascii="宋体" w:hAnsi="宋体" w:cs="宋体"/>
                <w:color w:val="000000"/>
                <w:kern w:val="0"/>
                <w:sz w:val="24"/>
                <w:szCs w:val="24"/>
                <w:lang w:val="en-US" w:eastAsia="zh-CN"/>
              </w:rPr>
            </w:pPr>
            <w:r>
              <w:rPr>
                <w:rFonts w:hint="eastAsia" w:ascii="宋体" w:hAnsi="宋体" w:cs="宋体"/>
                <w:color w:val="000000"/>
                <w:kern w:val="0"/>
                <w:sz w:val="24"/>
                <w:szCs w:val="24"/>
                <w:lang w:eastAsia="zh-CN"/>
              </w:rPr>
              <w:t>门诊部影像楼</w:t>
            </w:r>
          </w:p>
        </w:tc>
        <w:tc>
          <w:tcPr>
            <w:tcW w:w="2856" w:type="dxa"/>
            <w:noWrap w:val="0"/>
            <w:vAlign w:val="center"/>
          </w:tcPr>
          <w:p>
            <w:pPr>
              <w:widowControl/>
              <w:jc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SPeed M 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56" w:type="dxa"/>
            <w:noWrap w:val="0"/>
            <w:vAlign w:val="center"/>
          </w:tcPr>
          <w:p>
            <w:pPr>
              <w:widowControl/>
              <w:jc w:val="center"/>
              <w:rPr>
                <w:rFonts w:hint="eastAsia" w:ascii="宋体" w:hAnsi="宋体" w:cs="宋体"/>
                <w:color w:val="000000"/>
                <w:kern w:val="0"/>
                <w:sz w:val="24"/>
                <w:szCs w:val="24"/>
                <w:lang w:eastAsia="zh-CN"/>
              </w:rPr>
            </w:pPr>
            <w:r>
              <w:rPr>
                <w:rFonts w:hint="eastAsia" w:ascii="宋体" w:hAnsi="宋体" w:cs="宋体"/>
                <w:color w:val="000000"/>
                <w:kern w:val="0"/>
                <w:sz w:val="24"/>
                <w:szCs w:val="24"/>
                <w:lang w:val="en-US" w:eastAsia="zh-CN"/>
              </w:rPr>
              <w:t>7</w:t>
            </w:r>
          </w:p>
        </w:tc>
        <w:tc>
          <w:tcPr>
            <w:tcW w:w="744" w:type="dxa"/>
            <w:vMerge w:val="continue"/>
            <w:noWrap w:val="0"/>
            <w:vAlign w:val="center"/>
          </w:tcPr>
          <w:p>
            <w:pPr>
              <w:widowControl/>
              <w:jc w:val="center"/>
              <w:rPr>
                <w:rFonts w:ascii="宋体" w:hAnsi="宋体" w:cs="宋体"/>
                <w:color w:val="000000"/>
                <w:kern w:val="0"/>
                <w:sz w:val="24"/>
                <w:szCs w:val="24"/>
              </w:rPr>
            </w:pPr>
          </w:p>
        </w:tc>
        <w:tc>
          <w:tcPr>
            <w:tcW w:w="1722" w:type="dxa"/>
            <w:vMerge w:val="continue"/>
            <w:noWrap w:val="0"/>
            <w:vAlign w:val="center"/>
          </w:tcPr>
          <w:p>
            <w:pPr>
              <w:widowControl/>
              <w:jc w:val="center"/>
              <w:rPr>
                <w:rFonts w:hint="eastAsia" w:ascii="宋体" w:hAnsi="宋体" w:cs="宋体"/>
                <w:b w:val="0"/>
                <w:bCs w:val="0"/>
                <w:color w:val="auto"/>
                <w:kern w:val="0"/>
                <w:sz w:val="24"/>
                <w:szCs w:val="24"/>
              </w:rPr>
            </w:pPr>
          </w:p>
        </w:tc>
        <w:tc>
          <w:tcPr>
            <w:tcW w:w="2395" w:type="dxa"/>
            <w:noWrap w:val="0"/>
            <w:vAlign w:val="center"/>
          </w:tcPr>
          <w:p>
            <w:pPr>
              <w:widowControl/>
              <w:jc w:val="center"/>
              <w:rPr>
                <w:rFonts w:hint="eastAsia" w:ascii="宋体" w:hAnsi="宋体" w:cs="宋体"/>
                <w:color w:val="000000"/>
                <w:kern w:val="0"/>
                <w:sz w:val="24"/>
                <w:szCs w:val="24"/>
              </w:rPr>
            </w:pPr>
            <w:r>
              <w:rPr>
                <w:rFonts w:ascii="Times New Roman" w:hAnsi="Times New Roman" w:eastAsia="仿宋" w:cs="Times New Roman"/>
                <w:sz w:val="24"/>
                <w:szCs w:val="24"/>
                <w:lang w:eastAsia="zh-CN"/>
              </w:rPr>
              <w:t>DSA设备</w:t>
            </w:r>
          </w:p>
        </w:tc>
        <w:tc>
          <w:tcPr>
            <w:tcW w:w="2333" w:type="dxa"/>
            <w:noWrap w:val="0"/>
            <w:vAlign w:val="center"/>
          </w:tcPr>
          <w:p>
            <w:pPr>
              <w:widowControl/>
              <w:jc w:val="center"/>
              <w:rPr>
                <w:rFonts w:hint="default"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住院部2/4楼1楼</w:t>
            </w:r>
          </w:p>
        </w:tc>
        <w:tc>
          <w:tcPr>
            <w:tcW w:w="2856" w:type="dxa"/>
            <w:noWrap w:val="0"/>
            <w:vAlign w:val="center"/>
          </w:tcPr>
          <w:p>
            <w:pPr>
              <w:widowControl/>
              <w:jc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CGO--2100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56" w:type="dxa"/>
            <w:noWrap w:val="0"/>
            <w:vAlign w:val="center"/>
          </w:tcPr>
          <w:p>
            <w:pPr>
              <w:widowControl/>
              <w:jc w:val="center"/>
              <w:rPr>
                <w:rFonts w:hint="eastAsia" w:ascii="宋体" w:hAnsi="宋体" w:cs="宋体"/>
                <w:color w:val="000000"/>
                <w:kern w:val="0"/>
                <w:sz w:val="24"/>
                <w:szCs w:val="24"/>
                <w:lang w:eastAsia="zh-CN"/>
              </w:rPr>
            </w:pPr>
            <w:r>
              <w:rPr>
                <w:rFonts w:hint="eastAsia" w:ascii="宋体" w:hAnsi="宋体" w:cs="宋体"/>
                <w:color w:val="000000"/>
                <w:kern w:val="0"/>
                <w:sz w:val="24"/>
                <w:szCs w:val="24"/>
                <w:lang w:val="en-US" w:eastAsia="zh-CN"/>
              </w:rPr>
              <w:t>8</w:t>
            </w:r>
          </w:p>
        </w:tc>
        <w:tc>
          <w:tcPr>
            <w:tcW w:w="744" w:type="dxa"/>
            <w:noWrap w:val="0"/>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1</w:t>
            </w:r>
          </w:p>
        </w:tc>
        <w:tc>
          <w:tcPr>
            <w:tcW w:w="1722" w:type="dxa"/>
            <w:noWrap w:val="0"/>
            <w:vAlign w:val="center"/>
          </w:tcPr>
          <w:p>
            <w:pPr>
              <w:widowControl/>
              <w:jc w:val="center"/>
              <w:rPr>
                <w:rFonts w:hint="eastAsia" w:ascii="宋体" w:hAnsi="宋体" w:cs="宋体"/>
                <w:b w:val="0"/>
                <w:bCs w:val="0"/>
                <w:color w:val="auto"/>
                <w:kern w:val="0"/>
                <w:sz w:val="24"/>
                <w:szCs w:val="24"/>
              </w:rPr>
            </w:pPr>
            <w:r>
              <w:rPr>
                <w:rFonts w:hint="eastAsia" w:ascii="宋体" w:hAnsi="宋体" w:cs="宋体"/>
                <w:b w:val="0"/>
                <w:bCs w:val="0"/>
                <w:color w:val="auto"/>
                <w:kern w:val="0"/>
                <w:sz w:val="24"/>
                <w:szCs w:val="24"/>
              </w:rPr>
              <w:t>朔里镇卫生院</w:t>
            </w:r>
          </w:p>
        </w:tc>
        <w:tc>
          <w:tcPr>
            <w:tcW w:w="2395"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DR</w:t>
            </w:r>
            <w:r>
              <w:rPr>
                <w:rFonts w:hint="eastAsia" w:ascii="宋体" w:hAnsi="宋体" w:cs="宋体"/>
                <w:color w:val="000000"/>
                <w:kern w:val="0"/>
                <w:sz w:val="24"/>
                <w:szCs w:val="24"/>
                <w:lang w:eastAsia="zh-CN"/>
              </w:rPr>
              <w:t>设备</w:t>
            </w:r>
          </w:p>
        </w:tc>
        <w:tc>
          <w:tcPr>
            <w:tcW w:w="2333" w:type="dxa"/>
            <w:noWrap w:val="0"/>
            <w:vAlign w:val="center"/>
          </w:tcPr>
          <w:p>
            <w:pPr>
              <w:widowControl/>
              <w:jc w:val="center"/>
              <w:rPr>
                <w:rFonts w:hint="eastAsia" w:ascii="宋体" w:hAnsi="宋体" w:cs="宋体"/>
                <w:color w:val="000000"/>
                <w:kern w:val="0"/>
                <w:sz w:val="24"/>
                <w:szCs w:val="24"/>
                <w:lang w:val="en-US" w:eastAsia="zh-CN"/>
              </w:rPr>
            </w:pPr>
          </w:p>
        </w:tc>
        <w:tc>
          <w:tcPr>
            <w:tcW w:w="2856" w:type="dxa"/>
            <w:noWrap w:val="0"/>
            <w:vAlign w:val="center"/>
          </w:tcPr>
          <w:p>
            <w:pPr>
              <w:widowControl/>
              <w:jc w:val="center"/>
              <w:rPr>
                <w:rFonts w:hint="eastAsia"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56" w:type="dxa"/>
            <w:noWrap w:val="0"/>
            <w:vAlign w:val="center"/>
          </w:tcPr>
          <w:p>
            <w:pPr>
              <w:widowControl/>
              <w:jc w:val="center"/>
              <w:rPr>
                <w:rFonts w:hint="default"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9</w:t>
            </w:r>
          </w:p>
        </w:tc>
        <w:tc>
          <w:tcPr>
            <w:tcW w:w="744" w:type="dxa"/>
            <w:vMerge w:val="restart"/>
            <w:noWrap w:val="0"/>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2</w:t>
            </w:r>
          </w:p>
        </w:tc>
        <w:tc>
          <w:tcPr>
            <w:tcW w:w="1722" w:type="dxa"/>
            <w:vMerge w:val="restart"/>
            <w:noWrap w:val="0"/>
            <w:vAlign w:val="center"/>
          </w:tcPr>
          <w:p>
            <w:pPr>
              <w:widowControl/>
              <w:jc w:val="center"/>
              <w:rPr>
                <w:rFonts w:hint="eastAsia" w:ascii="宋体" w:hAnsi="宋体" w:cs="宋体"/>
                <w:b w:val="0"/>
                <w:bCs w:val="0"/>
                <w:color w:val="auto"/>
                <w:kern w:val="0"/>
                <w:sz w:val="24"/>
                <w:szCs w:val="24"/>
              </w:rPr>
            </w:pPr>
            <w:r>
              <w:rPr>
                <w:rFonts w:hint="eastAsia" w:ascii="宋体" w:hAnsi="宋体" w:cs="宋体"/>
                <w:b w:val="0"/>
                <w:bCs w:val="0"/>
                <w:color w:val="auto"/>
                <w:kern w:val="0"/>
                <w:sz w:val="24"/>
                <w:szCs w:val="24"/>
              </w:rPr>
              <w:t>和平</w:t>
            </w:r>
            <w:r>
              <w:rPr>
                <w:rFonts w:hint="eastAsia" w:ascii="宋体" w:hAnsi="宋体" w:cs="宋体"/>
                <w:b w:val="0"/>
                <w:bCs w:val="0"/>
                <w:color w:val="auto"/>
                <w:kern w:val="0"/>
                <w:sz w:val="24"/>
                <w:szCs w:val="24"/>
                <w:lang w:eastAsia="zh-CN"/>
              </w:rPr>
              <w:t>妇产</w:t>
            </w:r>
            <w:r>
              <w:rPr>
                <w:rFonts w:hint="eastAsia" w:ascii="宋体" w:hAnsi="宋体" w:cs="宋体"/>
                <w:b w:val="0"/>
                <w:bCs w:val="0"/>
                <w:color w:val="auto"/>
                <w:kern w:val="0"/>
                <w:sz w:val="24"/>
                <w:szCs w:val="24"/>
              </w:rPr>
              <w:t>医院</w:t>
            </w:r>
          </w:p>
          <w:p>
            <w:pPr>
              <w:widowControl/>
              <w:jc w:val="center"/>
              <w:rPr>
                <w:rFonts w:ascii="宋体" w:hAnsi="宋体" w:cs="宋体"/>
                <w:b w:val="0"/>
                <w:bCs w:val="0"/>
                <w:color w:val="auto"/>
                <w:kern w:val="0"/>
                <w:sz w:val="24"/>
                <w:szCs w:val="24"/>
              </w:rPr>
            </w:pPr>
          </w:p>
        </w:tc>
        <w:tc>
          <w:tcPr>
            <w:tcW w:w="2395"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lang w:val="en-US" w:eastAsia="zh-CN"/>
              </w:rPr>
              <w:t>DR设备</w:t>
            </w:r>
          </w:p>
        </w:tc>
        <w:tc>
          <w:tcPr>
            <w:tcW w:w="2333" w:type="dxa"/>
            <w:noWrap w:val="0"/>
            <w:vAlign w:val="center"/>
          </w:tcPr>
          <w:p>
            <w:pPr>
              <w:widowControl/>
              <w:jc w:val="center"/>
              <w:rPr>
                <w:rFonts w:hint="eastAsia" w:ascii="宋体" w:hAnsi="宋体" w:cs="宋体"/>
                <w:color w:val="000000"/>
                <w:kern w:val="0"/>
                <w:sz w:val="24"/>
                <w:szCs w:val="24"/>
              </w:rPr>
            </w:pPr>
          </w:p>
        </w:tc>
        <w:tc>
          <w:tcPr>
            <w:tcW w:w="2856" w:type="dxa"/>
            <w:noWrap w:val="0"/>
            <w:vAlign w:val="center"/>
          </w:tcPr>
          <w:p>
            <w:pPr>
              <w:widowControl/>
              <w:jc w:val="center"/>
              <w:rPr>
                <w:rFonts w:hint="eastAsia"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56" w:type="dxa"/>
            <w:noWrap w:val="0"/>
            <w:vAlign w:val="center"/>
          </w:tcPr>
          <w:p>
            <w:pPr>
              <w:widowControl/>
              <w:jc w:val="center"/>
              <w:rPr>
                <w:rFonts w:hint="default"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10</w:t>
            </w:r>
          </w:p>
        </w:tc>
        <w:tc>
          <w:tcPr>
            <w:tcW w:w="744" w:type="dxa"/>
            <w:vMerge w:val="continue"/>
            <w:noWrap w:val="0"/>
            <w:vAlign w:val="center"/>
          </w:tcPr>
          <w:p>
            <w:pPr>
              <w:widowControl/>
              <w:jc w:val="center"/>
              <w:rPr>
                <w:rFonts w:ascii="宋体" w:hAnsi="宋体" w:cs="宋体"/>
                <w:color w:val="000000"/>
                <w:kern w:val="0"/>
                <w:sz w:val="24"/>
                <w:szCs w:val="24"/>
              </w:rPr>
            </w:pPr>
          </w:p>
        </w:tc>
        <w:tc>
          <w:tcPr>
            <w:tcW w:w="1722" w:type="dxa"/>
            <w:vMerge w:val="continue"/>
            <w:noWrap w:val="0"/>
            <w:vAlign w:val="center"/>
          </w:tcPr>
          <w:p>
            <w:pPr>
              <w:widowControl/>
              <w:jc w:val="center"/>
              <w:rPr>
                <w:rFonts w:ascii="宋体" w:hAnsi="宋体" w:cs="宋体"/>
                <w:b w:val="0"/>
                <w:bCs w:val="0"/>
                <w:color w:val="auto"/>
                <w:kern w:val="0"/>
                <w:sz w:val="24"/>
                <w:szCs w:val="24"/>
              </w:rPr>
            </w:pPr>
          </w:p>
        </w:tc>
        <w:tc>
          <w:tcPr>
            <w:tcW w:w="2395" w:type="dxa"/>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lang w:val="en-US" w:eastAsia="zh-CN"/>
              </w:rPr>
              <w:t>CT机</w:t>
            </w:r>
          </w:p>
        </w:tc>
        <w:tc>
          <w:tcPr>
            <w:tcW w:w="2333" w:type="dxa"/>
            <w:noWrap w:val="0"/>
            <w:vAlign w:val="center"/>
          </w:tcPr>
          <w:p>
            <w:pPr>
              <w:widowControl/>
              <w:jc w:val="center"/>
              <w:rPr>
                <w:rFonts w:ascii="宋体" w:hAnsi="宋体" w:cs="宋体"/>
                <w:kern w:val="0"/>
                <w:sz w:val="24"/>
                <w:szCs w:val="24"/>
              </w:rPr>
            </w:pPr>
          </w:p>
        </w:tc>
        <w:tc>
          <w:tcPr>
            <w:tcW w:w="2856" w:type="dxa"/>
            <w:noWrap w:val="0"/>
            <w:vAlign w:val="center"/>
          </w:tcPr>
          <w:p>
            <w:pPr>
              <w:widowControl/>
              <w:jc w:val="center"/>
              <w:rPr>
                <w:rFonts w:ascii="宋体" w:hAnsi="宋体" w:cs="宋体"/>
                <w:color w:val="000000"/>
                <w:kern w:val="0"/>
                <w:sz w:val="24"/>
                <w:szCs w:val="24"/>
              </w:rPr>
            </w:pPr>
          </w:p>
        </w:tc>
      </w:tr>
    </w:tbl>
    <w:p>
      <w:pPr>
        <w:jc w:val="left"/>
        <w:rPr>
          <w:rFonts w:hint="eastAsia" w:ascii="宋体" w:hAnsi="宋体" w:eastAsia="宋体" w:cs="宋体"/>
          <w:sz w:val="28"/>
          <w:szCs w:val="28"/>
          <w:lang w:eastAsia="zh-CN"/>
        </w:rPr>
      </w:pPr>
      <w:r>
        <w:rPr>
          <w:rFonts w:hint="eastAsia" w:ascii="宋体" w:hAnsi="宋体" w:eastAsia="宋体" w:cs="宋体"/>
          <w:sz w:val="28"/>
          <w:szCs w:val="28"/>
          <w:lang w:val="en-US" w:eastAsia="zh-CN"/>
        </w:rPr>
        <w:t>说明：每类放射设备</w:t>
      </w:r>
      <w:r>
        <w:rPr>
          <w:rFonts w:hint="eastAsia" w:ascii="宋体" w:hAnsi="宋体" w:eastAsia="宋体" w:cs="宋体"/>
          <w:sz w:val="28"/>
          <w:szCs w:val="28"/>
          <w:lang w:eastAsia="zh-CN"/>
        </w:rPr>
        <w:t>监测1台，对放射诊疗设备监测的同时开展放射诊疗场所放射防护监测（没有固定使用机房的移动X射线设备除外）。</w:t>
      </w:r>
    </w:p>
    <w:p>
      <w:pPr>
        <w:numPr>
          <w:ilvl w:val="0"/>
          <w:numId w:val="2"/>
        </w:numPr>
        <w:ind w:left="210"/>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放射诊疗设备质量防护检测指标要求</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7"/>
        <w:gridCol w:w="2077"/>
        <w:gridCol w:w="1095"/>
        <w:gridCol w:w="4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647"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序号</w:t>
            </w:r>
          </w:p>
        </w:tc>
        <w:tc>
          <w:tcPr>
            <w:tcW w:w="2077"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放射诊疗设备名称</w:t>
            </w:r>
          </w:p>
        </w:tc>
        <w:tc>
          <w:tcPr>
            <w:tcW w:w="1095" w:type="dxa"/>
            <w:noWrap w:val="0"/>
            <w:vAlign w:val="center"/>
          </w:tcPr>
          <w:p>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检测</w:t>
            </w:r>
          </w:p>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指标数</w:t>
            </w:r>
          </w:p>
        </w:tc>
        <w:tc>
          <w:tcPr>
            <w:tcW w:w="4703"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放射诊疗设备检测项目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522" w:type="dxa"/>
            <w:gridSpan w:val="4"/>
            <w:noWrap w:val="0"/>
            <w:vAlign w:val="top"/>
          </w:tcPr>
          <w:p>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一、放射治疗设备部分：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trPr>
        <w:tc>
          <w:tcPr>
            <w:tcW w:w="647"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2077"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eastAsia="zh-CN"/>
              </w:rPr>
              <w:t>医用电子加速器</w:t>
            </w:r>
          </w:p>
        </w:tc>
        <w:tc>
          <w:tcPr>
            <w:tcW w:w="109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w:t>
            </w:r>
          </w:p>
        </w:tc>
        <w:tc>
          <w:tcPr>
            <w:tcW w:w="4703" w:type="dxa"/>
            <w:noWrap w:val="0"/>
            <w:vAlign w:val="center"/>
          </w:tcPr>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方形 X 辐射野的均整度;方形 X 辐射野的对称性;辐射野与灯光野重合度;校准点吸收剂量;输出剂量重复性;输出剂量的日稳定性;输出剂量线性。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647"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2077"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eastAsia="zh-CN"/>
              </w:rPr>
              <w:t>头部伽玛刀</w:t>
            </w:r>
          </w:p>
        </w:tc>
        <w:tc>
          <w:tcPr>
            <w:tcW w:w="109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w:t>
            </w:r>
          </w:p>
        </w:tc>
        <w:tc>
          <w:tcPr>
            <w:tcW w:w="4703" w:type="dxa"/>
            <w:noWrap w:val="0"/>
            <w:vAlign w:val="center"/>
          </w:tcPr>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辐射野对称性;辐射野与灯光野重合性;半影区宽度;校准点吸收剂量;计时器控制照射偏差;放射源防护屏蔽装置泄漏辐射;机械等中心。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trPr>
        <w:tc>
          <w:tcPr>
            <w:tcW w:w="647"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2077"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钴-60远距离治疗机</w:t>
            </w:r>
          </w:p>
        </w:tc>
        <w:tc>
          <w:tcPr>
            <w:tcW w:w="1095" w:type="dxa"/>
            <w:noWrap w:val="0"/>
            <w:vAlign w:val="center"/>
          </w:tcPr>
          <w:p>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7</w:t>
            </w:r>
          </w:p>
        </w:tc>
        <w:tc>
          <w:tcPr>
            <w:tcW w:w="4703" w:type="dxa"/>
            <w:noWrap w:val="0"/>
            <w:vAlign w:val="center"/>
          </w:tcPr>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定位参考点与照射野中心的距离;焦点计划剂量与实测剂量的相对偏差;焦点剂量率;照射野尺寸偏差;照射野半影宽度</w:t>
            </w:r>
            <w:r>
              <w:rPr>
                <w:rFonts w:hint="eastAsia" w:ascii="宋体" w:hAnsi="宋体" w:cs="宋体"/>
                <w:sz w:val="24"/>
                <w:szCs w:val="24"/>
                <w:lang w:val="en-US" w:eastAsia="zh-CN"/>
              </w:rPr>
              <w:t>等</w:t>
            </w:r>
            <w:r>
              <w:rPr>
                <w:rFonts w:hint="eastAsia" w:ascii="宋体" w:hAnsi="宋体" w:eastAsia="宋体" w:cs="宋体"/>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trPr>
        <w:tc>
          <w:tcPr>
            <w:tcW w:w="647"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2077"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eastAsia="zh-CN"/>
              </w:rPr>
              <w:t>后装治疗机</w:t>
            </w:r>
          </w:p>
        </w:tc>
        <w:tc>
          <w:tcPr>
            <w:tcW w:w="1095" w:type="dxa"/>
            <w:noWrap w:val="0"/>
            <w:vAlign w:val="center"/>
          </w:tcPr>
          <w:p>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6</w:t>
            </w:r>
          </w:p>
        </w:tc>
        <w:tc>
          <w:tcPr>
            <w:tcW w:w="4703" w:type="dxa"/>
            <w:noWrap w:val="0"/>
            <w:vAlign w:val="center"/>
          </w:tcPr>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源活度;源传输到位精确度;放射源累计定位误差;贮源器表面（5cm、100cm）泄漏辐射所致周围剂量当量率;源驻留时间误差;多源系统重复性</w:t>
            </w:r>
            <w:r>
              <w:rPr>
                <w:rFonts w:hint="eastAsia" w:ascii="宋体" w:hAnsi="宋体" w:cs="宋体"/>
                <w:sz w:val="24"/>
                <w:szCs w:val="24"/>
                <w:lang w:val="en-US" w:eastAsia="zh-CN"/>
              </w:rPr>
              <w:t>等</w:t>
            </w:r>
            <w:r>
              <w:rPr>
                <w:rFonts w:hint="eastAsia" w:ascii="宋体" w:hAnsi="宋体" w:eastAsia="宋体" w:cs="宋体"/>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522" w:type="dxa"/>
            <w:gridSpan w:val="4"/>
            <w:noWrap w:val="0"/>
            <w:vAlign w:val="top"/>
          </w:tcPr>
          <w:p>
            <w:pPr>
              <w:rPr>
                <w:rFonts w:hint="eastAsia" w:ascii="宋体" w:hAnsi="宋体" w:eastAsia="宋体" w:cs="宋体"/>
                <w:sz w:val="32"/>
                <w:szCs w:val="40"/>
                <w:vertAlign w:val="baseline"/>
                <w:lang w:val="en-US" w:eastAsia="zh-CN"/>
              </w:rPr>
            </w:pPr>
            <w:r>
              <w:rPr>
                <w:rFonts w:hint="eastAsia" w:ascii="宋体" w:hAnsi="宋体" w:eastAsia="宋体" w:cs="宋体"/>
                <w:sz w:val="24"/>
                <w:szCs w:val="24"/>
                <w:vertAlign w:val="baseline"/>
                <w:lang w:val="en-US" w:eastAsia="zh-CN"/>
              </w:rPr>
              <w:t>二、放射诊断设备部分：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atLeast"/>
        </w:trPr>
        <w:tc>
          <w:tcPr>
            <w:tcW w:w="647" w:type="dxa"/>
            <w:noWrap w:val="0"/>
            <w:vAlign w:val="center"/>
          </w:tcPr>
          <w:p>
            <w:pPr>
              <w:jc w:val="center"/>
              <w:rPr>
                <w:rFonts w:hint="eastAsia" w:ascii="宋体" w:hAnsi="宋体" w:eastAsia="宋体" w:cs="宋体"/>
                <w:sz w:val="24"/>
                <w:szCs w:val="32"/>
                <w:vertAlign w:val="baseline"/>
                <w:lang w:val="en-US" w:eastAsia="zh-CN"/>
              </w:rPr>
            </w:pPr>
            <w:r>
              <w:rPr>
                <w:rFonts w:hint="eastAsia" w:ascii="宋体" w:hAnsi="宋体" w:eastAsia="宋体" w:cs="宋体"/>
                <w:sz w:val="24"/>
                <w:szCs w:val="32"/>
                <w:vertAlign w:val="baseline"/>
                <w:lang w:val="en-US" w:eastAsia="zh-CN"/>
              </w:rPr>
              <w:t>1</w:t>
            </w:r>
          </w:p>
        </w:tc>
        <w:tc>
          <w:tcPr>
            <w:tcW w:w="2077" w:type="dxa"/>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屏片X射线摄影机</w:t>
            </w:r>
          </w:p>
        </w:tc>
        <w:tc>
          <w:tcPr>
            <w:tcW w:w="1095" w:type="dxa"/>
            <w:noWrap w:val="0"/>
            <w:vAlign w:val="center"/>
          </w:tcPr>
          <w:p>
            <w:pPr>
              <w:jc w:val="center"/>
              <w:rPr>
                <w:rFonts w:hint="eastAsia" w:ascii="宋体" w:hAnsi="宋体" w:eastAsia="宋体" w:cs="宋体"/>
                <w:sz w:val="24"/>
                <w:szCs w:val="32"/>
                <w:vertAlign w:val="baseline"/>
                <w:lang w:val="en-US" w:eastAsia="zh-CN"/>
              </w:rPr>
            </w:pPr>
            <w:r>
              <w:rPr>
                <w:rFonts w:hint="eastAsia" w:ascii="宋体" w:hAnsi="宋体" w:cs="宋体"/>
                <w:b/>
                <w:sz w:val="22"/>
                <w:szCs w:val="21"/>
                <w:lang w:val="en-US" w:eastAsia="zh-CN"/>
              </w:rPr>
              <w:t>8</w:t>
            </w:r>
          </w:p>
        </w:tc>
        <w:tc>
          <w:tcPr>
            <w:tcW w:w="4703" w:type="dxa"/>
            <w:noWrap w:val="0"/>
            <w:vAlign w:val="top"/>
          </w:tcPr>
          <w:p>
            <w:pPr>
              <w:rPr>
                <w:rFonts w:hint="eastAsia" w:ascii="宋体" w:hAnsi="宋体" w:eastAsia="宋体" w:cs="宋体"/>
                <w:sz w:val="24"/>
                <w:szCs w:val="24"/>
                <w:lang w:val="en-US" w:eastAsia="zh-CN"/>
              </w:rPr>
            </w:pPr>
          </w:p>
          <w:p>
            <w:pPr>
              <w:rPr>
                <w:rFonts w:hint="eastAsia" w:ascii="宋体" w:hAnsi="宋体" w:eastAsia="宋体" w:cs="宋体"/>
                <w:sz w:val="32"/>
                <w:szCs w:val="40"/>
                <w:vertAlign w:val="baseline"/>
                <w:lang w:val="en-US" w:eastAsia="zh-CN"/>
              </w:rPr>
            </w:pPr>
            <w:r>
              <w:rPr>
                <w:rFonts w:hint="eastAsia" w:ascii="宋体" w:hAnsi="宋体" w:eastAsia="宋体" w:cs="宋体"/>
                <w:sz w:val="24"/>
                <w:szCs w:val="24"/>
                <w:lang w:val="en-US" w:eastAsia="zh-CN"/>
              </w:rPr>
              <w:t>管电压指示的偏离、输出量重复性、输出量线性、有用线束半值层、自动曝光控制响应、自动曝光控制重复性、有用线束垂直度偏离、光野与照射野中心的偏离、光野与照射野四边的偏离。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trPr>
        <w:tc>
          <w:tcPr>
            <w:tcW w:w="647" w:type="dxa"/>
            <w:noWrap w:val="0"/>
            <w:vAlign w:val="center"/>
          </w:tcPr>
          <w:p>
            <w:pPr>
              <w:jc w:val="center"/>
              <w:rPr>
                <w:rFonts w:hint="eastAsia" w:ascii="宋体" w:hAnsi="宋体" w:eastAsia="宋体" w:cs="宋体"/>
                <w:sz w:val="24"/>
                <w:szCs w:val="32"/>
                <w:vertAlign w:val="baseline"/>
                <w:lang w:val="en-US" w:eastAsia="zh-CN"/>
              </w:rPr>
            </w:pPr>
            <w:r>
              <w:rPr>
                <w:rFonts w:hint="eastAsia" w:ascii="宋体" w:hAnsi="宋体" w:eastAsia="宋体" w:cs="宋体"/>
                <w:sz w:val="24"/>
                <w:szCs w:val="32"/>
                <w:vertAlign w:val="baseline"/>
                <w:lang w:val="en-US" w:eastAsia="zh-CN"/>
              </w:rPr>
              <w:t>2</w:t>
            </w:r>
          </w:p>
        </w:tc>
        <w:tc>
          <w:tcPr>
            <w:tcW w:w="2077" w:type="dxa"/>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Ｘ射线透视机</w:t>
            </w:r>
          </w:p>
        </w:tc>
        <w:tc>
          <w:tcPr>
            <w:tcW w:w="1095" w:type="dxa"/>
            <w:noWrap w:val="0"/>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6</w:t>
            </w:r>
          </w:p>
        </w:tc>
        <w:tc>
          <w:tcPr>
            <w:tcW w:w="4703" w:type="dxa"/>
            <w:noWrap w:val="0"/>
            <w:vAlign w:val="top"/>
          </w:tcPr>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透视受检者入射体表空气比释动能率典型值;空间分辨力;低对比分辨力;影像接收器入射屏前空气比释动能率;自动亮度控制。</w:t>
            </w:r>
          </w:p>
          <w:p>
            <w:pPr>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647" w:type="dxa"/>
            <w:vMerge w:val="restart"/>
            <w:noWrap w:val="0"/>
            <w:vAlign w:val="center"/>
          </w:tcPr>
          <w:p>
            <w:pPr>
              <w:jc w:val="center"/>
              <w:rPr>
                <w:rFonts w:hint="eastAsia" w:ascii="宋体" w:hAnsi="宋体" w:eastAsia="宋体" w:cs="宋体"/>
                <w:sz w:val="24"/>
                <w:szCs w:val="32"/>
                <w:vertAlign w:val="baseline"/>
                <w:lang w:val="en-US" w:eastAsia="zh-CN"/>
              </w:rPr>
            </w:pPr>
            <w:r>
              <w:rPr>
                <w:rFonts w:hint="eastAsia" w:ascii="宋体" w:hAnsi="宋体" w:eastAsia="宋体" w:cs="宋体"/>
                <w:sz w:val="24"/>
                <w:szCs w:val="32"/>
                <w:vertAlign w:val="baseline"/>
                <w:lang w:val="en-US" w:eastAsia="zh-CN"/>
              </w:rPr>
              <w:t>3</w:t>
            </w:r>
          </w:p>
        </w:tc>
        <w:tc>
          <w:tcPr>
            <w:tcW w:w="2077" w:type="dxa"/>
            <w:vMerge w:val="restart"/>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DR设备监测</w:t>
            </w:r>
          </w:p>
        </w:tc>
        <w:tc>
          <w:tcPr>
            <w:tcW w:w="1095" w:type="dxa"/>
            <w:noWrap w:val="0"/>
            <w:vAlign w:val="center"/>
          </w:tcPr>
          <w:p>
            <w:pPr>
              <w:jc w:val="center"/>
              <w:rPr>
                <w:rFonts w:hint="eastAsia" w:ascii="宋体" w:hAnsi="宋体" w:eastAsia="宋体" w:cs="宋体"/>
                <w:sz w:val="24"/>
                <w:szCs w:val="32"/>
                <w:vertAlign w:val="baseline"/>
                <w:lang w:val="en-US" w:eastAsia="zh-CN"/>
              </w:rPr>
            </w:pPr>
            <w:r>
              <w:rPr>
                <w:rFonts w:hint="eastAsia" w:ascii="宋体" w:hAnsi="宋体" w:cs="宋体"/>
                <w:sz w:val="24"/>
                <w:szCs w:val="32"/>
                <w:vertAlign w:val="baseline"/>
                <w:lang w:val="en-US" w:eastAsia="zh-CN"/>
              </w:rPr>
              <w:t>8</w:t>
            </w:r>
          </w:p>
        </w:tc>
        <w:tc>
          <w:tcPr>
            <w:tcW w:w="4703" w:type="dxa"/>
            <w:noWrap w:val="0"/>
            <w:vAlign w:val="top"/>
          </w:tcPr>
          <w:p>
            <w:pPr>
              <w:rPr>
                <w:rFonts w:hint="eastAsia" w:ascii="宋体" w:hAnsi="宋体" w:eastAsia="宋体" w:cs="宋体"/>
                <w:sz w:val="32"/>
                <w:szCs w:val="40"/>
                <w:vertAlign w:val="baseline"/>
                <w:lang w:val="en-US" w:eastAsia="zh-CN"/>
              </w:rPr>
            </w:pPr>
            <w:r>
              <w:rPr>
                <w:rFonts w:hint="eastAsia" w:ascii="宋体" w:hAnsi="宋体" w:eastAsia="宋体" w:cs="宋体"/>
                <w:sz w:val="24"/>
                <w:szCs w:val="24"/>
                <w:lang w:val="en-US" w:eastAsia="zh-CN"/>
              </w:rPr>
              <w:t xml:space="preserve">通用指标：管电压指示的偏离；输出量重复性；有用线束半值层；有用线束垂直度偏离；光野与照射野四边的偏离。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atLeast"/>
        </w:trPr>
        <w:tc>
          <w:tcPr>
            <w:tcW w:w="647" w:type="dxa"/>
            <w:vMerge w:val="continue"/>
            <w:noWrap w:val="0"/>
            <w:vAlign w:val="center"/>
          </w:tcPr>
          <w:p>
            <w:pPr>
              <w:jc w:val="center"/>
              <w:rPr>
                <w:rFonts w:hint="eastAsia" w:ascii="宋体" w:hAnsi="宋体" w:eastAsia="宋体" w:cs="宋体"/>
                <w:sz w:val="24"/>
                <w:szCs w:val="32"/>
                <w:vertAlign w:val="baseline"/>
                <w:lang w:val="en-US" w:eastAsia="zh-CN"/>
              </w:rPr>
            </w:pPr>
          </w:p>
        </w:tc>
        <w:tc>
          <w:tcPr>
            <w:tcW w:w="2077" w:type="dxa"/>
            <w:vMerge w:val="continue"/>
            <w:noWrap w:val="0"/>
            <w:vAlign w:val="center"/>
          </w:tcPr>
          <w:p>
            <w:pPr>
              <w:jc w:val="center"/>
              <w:rPr>
                <w:rFonts w:hint="eastAsia" w:ascii="宋体" w:hAnsi="宋体" w:eastAsia="宋体" w:cs="宋体"/>
                <w:sz w:val="24"/>
                <w:szCs w:val="24"/>
                <w:lang w:eastAsia="zh-CN"/>
              </w:rPr>
            </w:pPr>
          </w:p>
        </w:tc>
        <w:tc>
          <w:tcPr>
            <w:tcW w:w="1095" w:type="dxa"/>
            <w:noWrap w:val="0"/>
            <w:vAlign w:val="center"/>
          </w:tcPr>
          <w:p>
            <w:pPr>
              <w:jc w:val="center"/>
              <w:rPr>
                <w:rFonts w:hint="eastAsia" w:ascii="宋体" w:hAnsi="宋体" w:eastAsia="宋体" w:cs="宋体"/>
                <w:sz w:val="24"/>
                <w:szCs w:val="32"/>
                <w:vertAlign w:val="baseline"/>
                <w:lang w:val="en-US" w:eastAsia="zh-CN"/>
              </w:rPr>
            </w:pPr>
            <w:r>
              <w:rPr>
                <w:rFonts w:hint="eastAsia" w:ascii="宋体" w:hAnsi="宋体" w:cs="宋体"/>
                <w:sz w:val="24"/>
                <w:szCs w:val="32"/>
                <w:vertAlign w:val="baseline"/>
                <w:lang w:val="en-US" w:eastAsia="zh-CN"/>
              </w:rPr>
              <w:t>7</w:t>
            </w:r>
          </w:p>
        </w:tc>
        <w:tc>
          <w:tcPr>
            <w:tcW w:w="4703" w:type="dxa"/>
            <w:noWrap w:val="0"/>
            <w:vAlign w:val="top"/>
          </w:tcPr>
          <w:p>
            <w:pPr>
              <w:rPr>
                <w:rFonts w:hint="eastAsia" w:ascii="宋体" w:hAnsi="宋体" w:eastAsia="宋体" w:cs="宋体"/>
                <w:sz w:val="32"/>
                <w:szCs w:val="40"/>
                <w:vertAlign w:val="baseline"/>
                <w:lang w:val="en-US" w:eastAsia="zh-CN"/>
              </w:rPr>
            </w:pPr>
            <w:r>
              <w:rPr>
                <w:rFonts w:hint="eastAsia" w:ascii="宋体" w:hAnsi="宋体" w:eastAsia="宋体" w:cs="宋体"/>
                <w:sz w:val="24"/>
                <w:szCs w:val="24"/>
                <w:lang w:val="en-US" w:eastAsia="zh-CN"/>
              </w:rPr>
              <w:t xml:space="preserve">专用指标：暗噪声；探测器剂量指示（DDI）；信号传递特性（STP）；响应均匀性；测距误差；残影；伪影；极限空间分辨力；低对比度细节检测；AEC 灵敏度；AEC 电离室之间一致性；AEC 管电压变化一致性。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647" w:type="dxa"/>
            <w:vMerge w:val="restart"/>
            <w:noWrap w:val="0"/>
            <w:vAlign w:val="center"/>
          </w:tcPr>
          <w:p>
            <w:pPr>
              <w:jc w:val="center"/>
              <w:rPr>
                <w:rFonts w:hint="eastAsia" w:ascii="宋体" w:hAnsi="宋体" w:eastAsia="宋体" w:cs="宋体"/>
                <w:sz w:val="32"/>
                <w:szCs w:val="40"/>
                <w:vertAlign w:val="baseline"/>
                <w:lang w:val="en-US" w:eastAsia="zh-CN"/>
              </w:rPr>
            </w:pPr>
            <w:r>
              <w:rPr>
                <w:rFonts w:hint="eastAsia" w:ascii="宋体" w:hAnsi="宋体" w:eastAsia="宋体" w:cs="宋体"/>
                <w:sz w:val="24"/>
                <w:szCs w:val="32"/>
                <w:vertAlign w:val="baseline"/>
                <w:lang w:val="en-US" w:eastAsia="zh-CN"/>
              </w:rPr>
              <w:t>4</w:t>
            </w:r>
          </w:p>
        </w:tc>
        <w:tc>
          <w:tcPr>
            <w:tcW w:w="2077" w:type="dxa"/>
            <w:vMerge w:val="restart"/>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CR设备</w:t>
            </w:r>
          </w:p>
        </w:tc>
        <w:tc>
          <w:tcPr>
            <w:tcW w:w="109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p>
        </w:tc>
        <w:tc>
          <w:tcPr>
            <w:tcW w:w="4703" w:type="dxa"/>
            <w:noWrap w:val="0"/>
            <w:vAlign w:val="top"/>
          </w:tcPr>
          <w:p>
            <w:pPr>
              <w:pStyle w:val="2"/>
              <w:numPr>
                <w:ilvl w:val="0"/>
                <w:numId w:val="0"/>
              </w:numPr>
              <w:spacing w:before="214"/>
              <w:ind w:leftChars="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通用指标 8 项：管电压指示的偏离、输出量重复性、输出量线性、有用线束半值层、自动曝光控制响应、自动曝光控制重复性、有用线  束垂直度偏离、光野与照射野四边的偏离。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647" w:type="dxa"/>
            <w:vMerge w:val="continue"/>
            <w:noWrap w:val="0"/>
            <w:vAlign w:val="center"/>
          </w:tcPr>
          <w:p>
            <w:pPr>
              <w:jc w:val="center"/>
              <w:rPr>
                <w:rFonts w:hint="eastAsia" w:ascii="宋体" w:hAnsi="宋体" w:eastAsia="宋体" w:cs="宋体"/>
                <w:sz w:val="32"/>
                <w:szCs w:val="40"/>
                <w:vertAlign w:val="baseline"/>
                <w:lang w:val="en-US" w:eastAsia="zh-CN"/>
              </w:rPr>
            </w:pPr>
          </w:p>
        </w:tc>
        <w:tc>
          <w:tcPr>
            <w:tcW w:w="2077" w:type="dxa"/>
            <w:vMerge w:val="continue"/>
            <w:noWrap w:val="0"/>
            <w:vAlign w:val="center"/>
          </w:tcPr>
          <w:p>
            <w:pPr>
              <w:jc w:val="center"/>
              <w:rPr>
                <w:rFonts w:hint="eastAsia" w:ascii="宋体" w:hAnsi="宋体" w:eastAsia="宋体" w:cs="宋体"/>
                <w:sz w:val="24"/>
                <w:szCs w:val="24"/>
                <w:lang w:eastAsia="zh-CN"/>
              </w:rPr>
            </w:pPr>
          </w:p>
        </w:tc>
        <w:tc>
          <w:tcPr>
            <w:tcW w:w="109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w:t>
            </w:r>
          </w:p>
        </w:tc>
        <w:tc>
          <w:tcPr>
            <w:tcW w:w="4703" w:type="dxa"/>
            <w:noWrap w:val="0"/>
            <w:vAlign w:val="top"/>
          </w:tcPr>
          <w:p>
            <w:pPr>
              <w:pStyle w:val="2"/>
              <w:numPr>
                <w:ilvl w:val="0"/>
                <w:numId w:val="0"/>
              </w:numPr>
              <w:spacing w:before="214"/>
              <w:ind w:leftChars="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专用指标 7 项：IP 暗噪声、IP 响应均匀性和一致性、剂量指示校准、IP 响应线性、空间分辨力与分辨力均匀性、低对比度细节检测、空间距离准确性。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647" w:type="dxa"/>
            <w:noWrap w:val="0"/>
            <w:vAlign w:val="center"/>
          </w:tcPr>
          <w:p>
            <w:pPr>
              <w:jc w:val="center"/>
              <w:rPr>
                <w:rFonts w:hint="eastAsia" w:ascii="宋体" w:hAnsi="宋体" w:eastAsia="宋体" w:cs="宋体"/>
                <w:sz w:val="28"/>
                <w:szCs w:val="36"/>
                <w:vertAlign w:val="baseline"/>
                <w:lang w:val="en-US" w:eastAsia="zh-CN"/>
              </w:rPr>
            </w:pPr>
            <w:r>
              <w:rPr>
                <w:rFonts w:hint="eastAsia" w:ascii="宋体" w:hAnsi="宋体" w:eastAsia="宋体" w:cs="宋体"/>
                <w:sz w:val="28"/>
                <w:szCs w:val="36"/>
                <w:vertAlign w:val="baseline"/>
                <w:lang w:val="en-US" w:eastAsia="zh-CN"/>
              </w:rPr>
              <w:t>5</w:t>
            </w:r>
          </w:p>
        </w:tc>
        <w:tc>
          <w:tcPr>
            <w:tcW w:w="2077" w:type="dxa"/>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CT机</w:t>
            </w:r>
          </w:p>
        </w:tc>
        <w:tc>
          <w:tcPr>
            <w:tcW w:w="109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w:t>
            </w:r>
          </w:p>
        </w:tc>
        <w:tc>
          <w:tcPr>
            <w:tcW w:w="4703" w:type="dxa"/>
            <w:noWrap w:val="0"/>
            <w:vAlign w:val="center"/>
          </w:tcPr>
          <w:p>
            <w:pPr>
              <w:pStyle w:val="2"/>
              <w:numPr>
                <w:ilvl w:val="0"/>
                <w:numId w:val="0"/>
              </w:numPr>
              <w:spacing w:before="214"/>
              <w:ind w:leftChars="0"/>
              <w:jc w:val="left"/>
              <w:rPr>
                <w:rFonts w:hint="eastAsia" w:ascii="宋体" w:hAnsi="宋体" w:eastAsia="宋体" w:cs="宋体"/>
                <w:sz w:val="32"/>
                <w:szCs w:val="40"/>
                <w:vertAlign w:val="baseline"/>
                <w:lang w:val="en-US" w:eastAsia="zh-CN"/>
              </w:rPr>
            </w:pPr>
            <w:r>
              <w:rPr>
                <w:rFonts w:hint="eastAsia" w:ascii="宋体" w:hAnsi="宋体" w:eastAsia="宋体" w:cs="宋体"/>
                <w:kern w:val="2"/>
                <w:sz w:val="24"/>
                <w:szCs w:val="24"/>
                <w:lang w:val="en-US" w:eastAsia="zh-CN" w:bidi="ar-SA"/>
              </w:rPr>
              <w:t>诊断床定位精度、定位光精度、重建层厚偏差、CTDIW、CT 值（水）、均匀性、噪声、高对比分辨力、低对比可探测能力。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 w:hRule="atLeast"/>
        </w:trPr>
        <w:tc>
          <w:tcPr>
            <w:tcW w:w="647" w:type="dxa"/>
            <w:vMerge w:val="restart"/>
            <w:noWrap w:val="0"/>
            <w:vAlign w:val="center"/>
          </w:tcPr>
          <w:p>
            <w:pPr>
              <w:jc w:val="center"/>
              <w:rPr>
                <w:rFonts w:hint="eastAsia" w:ascii="宋体" w:hAnsi="宋体" w:eastAsia="宋体" w:cs="宋体"/>
                <w:sz w:val="28"/>
                <w:szCs w:val="36"/>
                <w:vertAlign w:val="baseline"/>
                <w:lang w:val="en-US" w:eastAsia="zh-CN"/>
              </w:rPr>
            </w:pPr>
            <w:r>
              <w:rPr>
                <w:rFonts w:hint="eastAsia" w:ascii="宋体" w:hAnsi="宋体" w:eastAsia="宋体" w:cs="宋体"/>
                <w:sz w:val="28"/>
                <w:szCs w:val="36"/>
                <w:vertAlign w:val="baseline"/>
                <w:lang w:val="en-US" w:eastAsia="zh-CN"/>
              </w:rPr>
              <w:t>6</w:t>
            </w:r>
          </w:p>
        </w:tc>
        <w:tc>
          <w:tcPr>
            <w:tcW w:w="2077" w:type="dxa"/>
            <w:vMerge w:val="restart"/>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乳腺</w:t>
            </w:r>
            <w:r>
              <w:rPr>
                <w:rFonts w:hint="eastAsia" w:ascii="宋体" w:hAnsi="宋体" w:eastAsia="宋体" w:cs="宋体"/>
                <w:sz w:val="24"/>
                <w:szCs w:val="24"/>
                <w:lang w:eastAsia="zh-CN"/>
              </w:rPr>
              <w:t>DR</w:t>
            </w:r>
          </w:p>
        </w:tc>
        <w:tc>
          <w:tcPr>
            <w:tcW w:w="1095" w:type="dxa"/>
            <w:noWrap w:val="0"/>
            <w:vAlign w:val="center"/>
          </w:tcPr>
          <w:p>
            <w:pPr>
              <w:jc w:val="center"/>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6</w:t>
            </w:r>
          </w:p>
        </w:tc>
        <w:tc>
          <w:tcPr>
            <w:tcW w:w="4703" w:type="dxa"/>
            <w:noWrap w:val="0"/>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right="0"/>
              <w:jc w:val="left"/>
              <w:textAlignment w:val="auto"/>
              <w:rPr>
                <w:rFonts w:hint="eastAsia" w:ascii="宋体" w:hAnsi="宋体" w:eastAsia="宋体" w:cs="宋体"/>
                <w:sz w:val="32"/>
                <w:szCs w:val="40"/>
                <w:vertAlign w:val="baseline"/>
                <w:lang w:val="en-US" w:eastAsia="zh-CN"/>
              </w:rPr>
            </w:pPr>
            <w:r>
              <w:rPr>
                <w:rFonts w:hint="eastAsia" w:ascii="宋体" w:hAnsi="宋体" w:eastAsia="宋体" w:cs="宋体"/>
                <w:kern w:val="2"/>
                <w:sz w:val="24"/>
                <w:szCs w:val="24"/>
                <w:lang w:val="en-US" w:eastAsia="zh-CN" w:bidi="ar-SA"/>
              </w:rPr>
              <w:t xml:space="preserve">通用指标 </w:t>
            </w:r>
            <w:r>
              <w:rPr>
                <w:rFonts w:hint="eastAsia" w:ascii="宋体" w:hAnsi="宋体" w:cs="宋体"/>
                <w:kern w:val="2"/>
                <w:sz w:val="24"/>
                <w:szCs w:val="24"/>
                <w:lang w:val="en-US" w:eastAsia="zh-CN" w:bidi="ar-SA"/>
              </w:rPr>
              <w:t>6</w:t>
            </w:r>
            <w:r>
              <w:rPr>
                <w:rFonts w:hint="eastAsia" w:ascii="宋体" w:hAnsi="宋体" w:eastAsia="宋体" w:cs="宋体"/>
                <w:kern w:val="2"/>
                <w:sz w:val="24"/>
                <w:szCs w:val="24"/>
                <w:lang w:val="en-US" w:eastAsia="zh-CN" w:bidi="ar-SA"/>
              </w:rPr>
              <w:t xml:space="preserve"> 项：胸壁侧照射野准直、管电压指示的偏离、输出量重复性、乳腺平均剂量、半值层(HVL)、特定辐射输出量、自动曝光控制重复性、光野与照射野一致性。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647" w:type="dxa"/>
            <w:vMerge w:val="continue"/>
            <w:noWrap w:val="0"/>
            <w:vAlign w:val="center"/>
          </w:tcPr>
          <w:p>
            <w:pPr>
              <w:jc w:val="center"/>
              <w:rPr>
                <w:rFonts w:hint="eastAsia" w:ascii="宋体" w:hAnsi="宋体" w:eastAsia="宋体" w:cs="宋体"/>
                <w:sz w:val="28"/>
                <w:szCs w:val="36"/>
                <w:vertAlign w:val="baseline"/>
                <w:lang w:val="en-US" w:eastAsia="zh-CN"/>
              </w:rPr>
            </w:pPr>
          </w:p>
        </w:tc>
        <w:tc>
          <w:tcPr>
            <w:tcW w:w="2077" w:type="dxa"/>
            <w:vMerge w:val="continue"/>
            <w:noWrap w:val="0"/>
            <w:vAlign w:val="center"/>
          </w:tcPr>
          <w:p>
            <w:pPr>
              <w:jc w:val="center"/>
              <w:rPr>
                <w:rFonts w:hint="eastAsia" w:ascii="宋体" w:hAnsi="宋体" w:eastAsia="宋体" w:cs="宋体"/>
                <w:sz w:val="28"/>
                <w:szCs w:val="28"/>
                <w:lang w:eastAsia="zh-CN"/>
              </w:rPr>
            </w:pPr>
          </w:p>
        </w:tc>
        <w:tc>
          <w:tcPr>
            <w:tcW w:w="1095" w:type="dxa"/>
            <w:noWrap w:val="0"/>
            <w:vAlign w:val="center"/>
          </w:tcPr>
          <w:p>
            <w:pPr>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w:t>
            </w:r>
          </w:p>
        </w:tc>
        <w:tc>
          <w:tcPr>
            <w:tcW w:w="4703" w:type="dxa"/>
            <w:noWrap w:val="0"/>
            <w:vAlign w:val="center"/>
          </w:tcPr>
          <w:p>
            <w:pPr>
              <w:jc w:val="left"/>
              <w:rPr>
                <w:rFonts w:hint="eastAsia" w:ascii="宋体" w:hAnsi="宋体" w:eastAsia="宋体" w:cs="宋体"/>
                <w:sz w:val="32"/>
                <w:szCs w:val="40"/>
                <w:vertAlign w:val="baseline"/>
                <w:lang w:val="en-US" w:eastAsia="zh-CN"/>
              </w:rPr>
            </w:pPr>
            <w:r>
              <w:rPr>
                <w:rFonts w:hint="eastAsia" w:ascii="宋体" w:hAnsi="宋体" w:eastAsia="宋体" w:cs="宋体"/>
                <w:kern w:val="2"/>
                <w:sz w:val="24"/>
                <w:szCs w:val="24"/>
                <w:lang w:val="en-US" w:eastAsia="zh-CN" w:bidi="ar-SA"/>
              </w:rPr>
              <w:t>专用指标 5 项：影像接收器响应、影像接收器均匀性、伪影、高对比分辨力、对比度细节阈值。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647" w:type="dxa"/>
            <w:vMerge w:val="restart"/>
            <w:noWrap w:val="0"/>
            <w:vAlign w:val="center"/>
          </w:tcPr>
          <w:p>
            <w:pPr>
              <w:jc w:val="center"/>
              <w:rPr>
                <w:rFonts w:hint="eastAsia" w:ascii="宋体" w:hAnsi="宋体" w:eastAsia="宋体" w:cs="宋体"/>
                <w:sz w:val="28"/>
                <w:szCs w:val="36"/>
                <w:vertAlign w:val="baseline"/>
                <w:lang w:val="en-US" w:eastAsia="zh-CN"/>
              </w:rPr>
            </w:pPr>
            <w:r>
              <w:rPr>
                <w:rFonts w:hint="eastAsia" w:ascii="宋体" w:hAnsi="宋体" w:eastAsia="宋体" w:cs="宋体"/>
                <w:sz w:val="28"/>
                <w:szCs w:val="36"/>
                <w:vertAlign w:val="baseline"/>
                <w:lang w:val="en-US" w:eastAsia="zh-CN"/>
              </w:rPr>
              <w:t>7</w:t>
            </w:r>
          </w:p>
        </w:tc>
        <w:tc>
          <w:tcPr>
            <w:tcW w:w="2077" w:type="dxa"/>
            <w:vMerge w:val="restart"/>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DSA设备</w:t>
            </w:r>
          </w:p>
        </w:tc>
        <w:tc>
          <w:tcPr>
            <w:tcW w:w="1095" w:type="dxa"/>
            <w:noWrap w:val="0"/>
            <w:vAlign w:val="center"/>
          </w:tcPr>
          <w:p>
            <w:pPr>
              <w:jc w:val="center"/>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6</w:t>
            </w:r>
          </w:p>
        </w:tc>
        <w:tc>
          <w:tcPr>
            <w:tcW w:w="4703" w:type="dxa"/>
            <w:noWrap w:val="0"/>
            <w:vAlign w:val="top"/>
          </w:tcPr>
          <w:p>
            <w:pPr>
              <w:pStyle w:val="2"/>
              <w:keepNext w:val="0"/>
              <w:keepLines w:val="0"/>
              <w:pageBreakBefore w:val="0"/>
              <w:widowControl w:val="0"/>
              <w:kinsoku/>
              <w:wordWrap/>
              <w:overflowPunct/>
              <w:topLinePunct w:val="0"/>
              <w:autoSpaceDE/>
              <w:autoSpaceDN/>
              <w:bidi w:val="0"/>
              <w:adjustRightInd/>
              <w:snapToGrid/>
              <w:spacing w:line="240" w:lineRule="auto"/>
              <w:ind w:left="0" w:right="0" w:firstLine="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通用指标 </w:t>
            </w:r>
            <w:r>
              <w:rPr>
                <w:rFonts w:hint="eastAsia" w:ascii="宋体" w:hAnsi="宋体" w:cs="宋体"/>
                <w:kern w:val="2"/>
                <w:sz w:val="24"/>
                <w:szCs w:val="24"/>
                <w:lang w:val="en-US" w:eastAsia="zh-CN" w:bidi="ar-SA"/>
              </w:rPr>
              <w:t>6</w:t>
            </w:r>
            <w:r>
              <w:rPr>
                <w:rFonts w:hint="eastAsia" w:ascii="宋体" w:hAnsi="宋体" w:eastAsia="宋体" w:cs="宋体"/>
                <w:kern w:val="2"/>
                <w:sz w:val="24"/>
                <w:szCs w:val="24"/>
                <w:lang w:val="en-US" w:eastAsia="zh-CN" w:bidi="ar-SA"/>
              </w:rPr>
              <w:t xml:space="preserve"> 项：透视受检者入射体表空气比释动能率典型值、空间分辨力、低对比分辨力、影像接收器入射屏前空气比释动能率、自动亮度控制。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647" w:type="dxa"/>
            <w:vMerge w:val="continue"/>
            <w:noWrap w:val="0"/>
            <w:vAlign w:val="center"/>
          </w:tcPr>
          <w:p>
            <w:pPr>
              <w:jc w:val="center"/>
              <w:rPr>
                <w:rFonts w:hint="eastAsia" w:ascii="宋体" w:hAnsi="宋体" w:eastAsia="宋体" w:cs="宋体"/>
                <w:sz w:val="28"/>
                <w:szCs w:val="36"/>
                <w:vertAlign w:val="baseline"/>
                <w:lang w:val="en-US" w:eastAsia="zh-CN"/>
              </w:rPr>
            </w:pPr>
          </w:p>
        </w:tc>
        <w:tc>
          <w:tcPr>
            <w:tcW w:w="2077" w:type="dxa"/>
            <w:vMerge w:val="continue"/>
            <w:noWrap w:val="0"/>
            <w:vAlign w:val="center"/>
          </w:tcPr>
          <w:p>
            <w:pPr>
              <w:jc w:val="center"/>
              <w:rPr>
                <w:rFonts w:hint="eastAsia" w:ascii="宋体" w:hAnsi="宋体" w:eastAsia="宋体" w:cs="宋体"/>
                <w:sz w:val="24"/>
                <w:szCs w:val="24"/>
                <w:lang w:eastAsia="zh-CN"/>
              </w:rPr>
            </w:pPr>
          </w:p>
        </w:tc>
        <w:tc>
          <w:tcPr>
            <w:tcW w:w="1095" w:type="dxa"/>
            <w:noWrap w:val="0"/>
            <w:vAlign w:val="center"/>
          </w:tcPr>
          <w:p>
            <w:pPr>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w:t>
            </w:r>
          </w:p>
        </w:tc>
        <w:tc>
          <w:tcPr>
            <w:tcW w:w="4703" w:type="dxa"/>
            <w:noWrap w:val="0"/>
            <w:vAlign w:val="top"/>
          </w:tcPr>
          <w:p>
            <w:pPr>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专用指标 3 项：DSA 动态范围、DSA 对比灵敏度、伪影。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647" w:type="dxa"/>
            <w:noWrap w:val="0"/>
            <w:vAlign w:val="center"/>
          </w:tcPr>
          <w:p>
            <w:pPr>
              <w:jc w:val="center"/>
              <w:rPr>
                <w:rFonts w:hint="eastAsia" w:ascii="宋体" w:hAnsi="宋体" w:eastAsia="宋体" w:cs="宋体"/>
                <w:sz w:val="28"/>
                <w:szCs w:val="36"/>
                <w:vertAlign w:val="baseline"/>
                <w:lang w:val="en-US" w:eastAsia="zh-CN"/>
              </w:rPr>
            </w:pPr>
            <w:r>
              <w:rPr>
                <w:rFonts w:hint="eastAsia" w:ascii="宋体" w:hAnsi="宋体" w:eastAsia="宋体" w:cs="宋体"/>
                <w:sz w:val="28"/>
                <w:szCs w:val="36"/>
                <w:vertAlign w:val="baseline"/>
                <w:lang w:val="en-US" w:eastAsia="zh-CN"/>
              </w:rPr>
              <w:t>8</w:t>
            </w:r>
          </w:p>
        </w:tc>
        <w:tc>
          <w:tcPr>
            <w:tcW w:w="2077" w:type="dxa"/>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口内牙科机</w:t>
            </w:r>
          </w:p>
        </w:tc>
        <w:tc>
          <w:tcPr>
            <w:tcW w:w="1095" w:type="dxa"/>
            <w:noWrap w:val="0"/>
            <w:vAlign w:val="center"/>
          </w:tcPr>
          <w:p>
            <w:pPr>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w:t>
            </w:r>
          </w:p>
        </w:tc>
        <w:tc>
          <w:tcPr>
            <w:tcW w:w="4703" w:type="dxa"/>
            <w:noWrap w:val="0"/>
            <w:vAlign w:val="top"/>
          </w:tcPr>
          <w:p>
            <w:pPr>
              <w:pStyle w:val="2"/>
              <w:keepNext w:val="0"/>
              <w:keepLines w:val="0"/>
              <w:pageBreakBefore w:val="0"/>
              <w:widowControl w:val="0"/>
              <w:kinsoku/>
              <w:wordWrap/>
              <w:overflowPunct/>
              <w:topLinePunct w:val="0"/>
              <w:autoSpaceDE/>
              <w:autoSpaceDN/>
              <w:bidi w:val="0"/>
              <w:adjustRightInd/>
              <w:snapToGrid/>
              <w:spacing w:line="240" w:lineRule="auto"/>
              <w:ind w:left="0" w:right="0" w:firstLine="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6 项：管电压指示的偏离、输出量重复性、加载时间偏离、有用线束半值层、高对比分辨力和低对比分辨力。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647" w:type="dxa"/>
            <w:noWrap w:val="0"/>
            <w:vAlign w:val="center"/>
          </w:tcPr>
          <w:p>
            <w:pPr>
              <w:jc w:val="center"/>
              <w:rPr>
                <w:rFonts w:hint="eastAsia" w:ascii="宋体" w:hAnsi="宋体" w:eastAsia="宋体" w:cs="宋体"/>
                <w:sz w:val="28"/>
                <w:szCs w:val="36"/>
                <w:vertAlign w:val="baseline"/>
                <w:lang w:val="en-US" w:eastAsia="zh-CN"/>
              </w:rPr>
            </w:pPr>
            <w:r>
              <w:rPr>
                <w:rFonts w:hint="eastAsia" w:ascii="宋体" w:hAnsi="宋体" w:eastAsia="宋体" w:cs="宋体"/>
                <w:sz w:val="28"/>
                <w:szCs w:val="36"/>
                <w:vertAlign w:val="baseline"/>
                <w:lang w:val="en-US" w:eastAsia="zh-CN"/>
              </w:rPr>
              <w:t>9</w:t>
            </w:r>
          </w:p>
        </w:tc>
        <w:tc>
          <w:tcPr>
            <w:tcW w:w="2077" w:type="dxa"/>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全景牙科机</w:t>
            </w:r>
          </w:p>
        </w:tc>
        <w:tc>
          <w:tcPr>
            <w:tcW w:w="1095" w:type="dxa"/>
            <w:noWrap w:val="0"/>
            <w:vAlign w:val="center"/>
          </w:tcPr>
          <w:p>
            <w:pPr>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w:t>
            </w:r>
          </w:p>
        </w:tc>
        <w:tc>
          <w:tcPr>
            <w:tcW w:w="4703" w:type="dxa"/>
            <w:noWrap w:val="0"/>
            <w:vAlign w:val="top"/>
          </w:tcPr>
          <w:p>
            <w:pPr>
              <w:pStyle w:val="2"/>
              <w:keepNext w:val="0"/>
              <w:keepLines w:val="0"/>
              <w:pageBreakBefore w:val="0"/>
              <w:widowControl w:val="0"/>
              <w:kinsoku/>
              <w:wordWrap/>
              <w:overflowPunct/>
              <w:topLinePunct w:val="0"/>
              <w:autoSpaceDE/>
              <w:autoSpaceDN/>
              <w:bidi w:val="0"/>
              <w:adjustRightInd/>
              <w:snapToGrid/>
              <w:spacing w:line="240" w:lineRule="auto"/>
              <w:ind w:left="0" w:right="0" w:firstLine="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5 项：管电压指示的偏离、加载时间偏离、有用线束半值层、高对比分辨力和低对比分辨力。 </w:t>
            </w:r>
          </w:p>
        </w:tc>
      </w:tr>
    </w:tbl>
    <w:p>
      <w:pPr>
        <w:pStyle w:val="7"/>
        <w:numPr>
          <w:ilvl w:val="0"/>
          <w:numId w:val="0"/>
        </w:numPr>
        <w:ind w:left="210" w:firstLine="0"/>
        <w:rPr>
          <w:rFonts w:hint="eastAsia" w:ascii="宋体" w:hAnsi="宋体" w:eastAsia="宋体" w:cs="宋体"/>
          <w:sz w:val="24"/>
          <w:szCs w:val="24"/>
          <w:lang w:val="en-US" w:eastAsia="zh-CN"/>
        </w:rPr>
      </w:pPr>
    </w:p>
    <w:p>
      <w:pPr>
        <w:pStyle w:val="7"/>
        <w:numPr>
          <w:ilvl w:val="0"/>
          <w:numId w:val="0"/>
        </w:numPr>
        <w:ind w:left="210" w:firstLine="0"/>
        <w:rPr>
          <w:rFonts w:hint="eastAsia" w:ascii="宋体" w:hAnsi="宋体" w:eastAsia="宋体" w:cs="宋体"/>
          <w:sz w:val="24"/>
          <w:szCs w:val="24"/>
          <w:lang w:val="en-US" w:eastAsia="zh-CN"/>
        </w:rPr>
      </w:pPr>
    </w:p>
    <w:p>
      <w:pPr>
        <w:pStyle w:val="7"/>
        <w:numPr>
          <w:ilvl w:val="0"/>
          <w:numId w:val="0"/>
        </w:numPr>
        <w:ind w:left="210" w:firstLine="0"/>
        <w:rPr>
          <w:rFonts w:hint="default" w:ascii="宋体" w:hAnsi="宋体" w:eastAsia="宋体" w:cs="宋体"/>
          <w:b/>
          <w:bCs/>
          <w:kern w:val="0"/>
          <w:sz w:val="24"/>
          <w:szCs w:val="24"/>
          <w:lang w:val="en-US" w:eastAsia="zh-CN"/>
        </w:rPr>
      </w:pPr>
      <w:r>
        <w:rPr>
          <w:rFonts w:hint="eastAsia" w:ascii="宋体" w:hAnsi="宋体" w:eastAsia="宋体" w:cs="宋体"/>
          <w:b/>
          <w:bCs/>
          <w:sz w:val="24"/>
          <w:szCs w:val="24"/>
          <w:lang w:val="en-US" w:eastAsia="zh-CN"/>
        </w:rPr>
        <w:t>3、放射诊疗设备质量防护检测检测依据及检测方法</w:t>
      </w:r>
    </w:p>
    <w:tbl>
      <w:tblPr>
        <w:tblStyle w:val="9"/>
        <w:tblW w:w="10035" w:type="dxa"/>
        <w:tblInd w:w="-3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
        <w:gridCol w:w="2145"/>
        <w:gridCol w:w="6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序号</w:t>
            </w:r>
          </w:p>
        </w:tc>
        <w:tc>
          <w:tcPr>
            <w:tcW w:w="214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放射诊疗</w:t>
            </w:r>
          </w:p>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设备名称</w:t>
            </w:r>
          </w:p>
        </w:tc>
        <w:tc>
          <w:tcPr>
            <w:tcW w:w="697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检测依据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0035" w:type="dxa"/>
            <w:gridSpan w:val="3"/>
            <w:noWrap w:val="0"/>
            <w:vAlign w:val="top"/>
          </w:tcPr>
          <w:p>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一、放射治疗设备部分：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214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eastAsia="zh-CN"/>
              </w:rPr>
              <w:t>医用电子加速器</w:t>
            </w:r>
          </w:p>
        </w:tc>
        <w:tc>
          <w:tcPr>
            <w:tcW w:w="6975" w:type="dxa"/>
            <w:noWrap w:val="0"/>
            <w:vAlign w:val="center"/>
          </w:tcPr>
          <w:p>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1、《医用电子加速器性能和试验方法》（GB 15213-2016）、</w:t>
            </w:r>
          </w:p>
          <w:p>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2、《电子加速器放射治疗放射防护要求》（GBZ126-2011)、</w:t>
            </w:r>
          </w:p>
          <w:p>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3、《医用电子直线加速器质量控制检测规范》(WS 674-2020)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214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eastAsia="zh-CN"/>
              </w:rPr>
              <w:t>头部伽玛刀</w:t>
            </w:r>
          </w:p>
        </w:tc>
        <w:tc>
          <w:tcPr>
            <w:tcW w:w="6975" w:type="dxa"/>
            <w:noWrap w:val="0"/>
            <w:vAlign w:val="center"/>
          </w:tcPr>
          <w:p>
            <w:pPr>
              <w:numPr>
                <w:ilvl w:val="0"/>
                <w:numId w:val="3"/>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《X、γ射线立体定向放射治疗系统质量控制检测规范》</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(WS 582-2017)、</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2、《X、γ射线立体定向外科治疗放射卫生防护标准》(GBZ168-2005)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214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钴-60远距离治疗机</w:t>
            </w:r>
          </w:p>
        </w:tc>
        <w:tc>
          <w:tcPr>
            <w:tcW w:w="6975" w:type="dxa"/>
            <w:noWrap w:val="0"/>
            <w:vAlign w:val="center"/>
          </w:tcPr>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1、《医用γ射束远距治疗防护与安全标准》(GBZ161-2004)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214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eastAsia="zh-CN"/>
              </w:rPr>
              <w:t>后装治疗机</w:t>
            </w:r>
          </w:p>
        </w:tc>
        <w:tc>
          <w:tcPr>
            <w:tcW w:w="6975" w:type="dxa"/>
            <w:noWrap w:val="0"/>
            <w:vAlign w:val="center"/>
          </w:tcPr>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1、《后装γ源近距离治疗质量控制检测规范》(WS262-2017)、</w:t>
            </w:r>
          </w:p>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2、《后装γ源近距离治疗放射防护要求》(GBZ121-2017)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0035" w:type="dxa"/>
            <w:gridSpan w:val="3"/>
            <w:noWrap w:val="0"/>
            <w:vAlign w:val="top"/>
          </w:tcPr>
          <w:p>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二、放射诊断设备部分：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2145" w:type="dxa"/>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屏片X射线摄影机</w:t>
            </w:r>
          </w:p>
        </w:tc>
        <w:tc>
          <w:tcPr>
            <w:tcW w:w="6975" w:type="dxa"/>
            <w:noWrap w:val="0"/>
            <w:vAlign w:val="center"/>
          </w:tcPr>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《医用常规 X 射线诊断设备质量控制检测规范》（WS 76-2017）。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2145" w:type="dxa"/>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Ｘ射线透视机</w:t>
            </w:r>
          </w:p>
        </w:tc>
        <w:tc>
          <w:tcPr>
            <w:tcW w:w="6975" w:type="dxa"/>
            <w:noWrap w:val="0"/>
            <w:vAlign w:val="center"/>
          </w:tcPr>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《医用常规 X 射线诊断设备质量控制检测规范》（WS 76-2017）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2145" w:type="dxa"/>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DR设备监测</w:t>
            </w:r>
          </w:p>
        </w:tc>
        <w:tc>
          <w:tcPr>
            <w:tcW w:w="6975" w:type="dxa"/>
            <w:noWrap w:val="0"/>
            <w:vAlign w:val="center"/>
          </w:tcPr>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《医用数字 X 射线摄影（DR）系统质量控制检测规范》（WS 521-2017）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2145" w:type="dxa"/>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CR设备</w:t>
            </w:r>
          </w:p>
        </w:tc>
        <w:tc>
          <w:tcPr>
            <w:tcW w:w="6975" w:type="dxa"/>
            <w:noWrap w:val="0"/>
            <w:vAlign w:val="center"/>
          </w:tcPr>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《计算机 X 射线摄影（CR）质量控制检测规范》（WS 520-2017）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2145" w:type="dxa"/>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CT机</w:t>
            </w:r>
          </w:p>
        </w:tc>
        <w:tc>
          <w:tcPr>
            <w:tcW w:w="6975" w:type="dxa"/>
            <w:noWrap w:val="0"/>
            <w:vAlign w:val="center"/>
          </w:tcPr>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《X 射线计算机断层摄影装置质量保证检测规范》（WS519-2019）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p>
        </w:tc>
        <w:tc>
          <w:tcPr>
            <w:tcW w:w="2145" w:type="dxa"/>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乳腺</w:t>
            </w:r>
            <w:r>
              <w:rPr>
                <w:rFonts w:hint="eastAsia" w:ascii="宋体" w:hAnsi="宋体" w:eastAsia="宋体" w:cs="宋体"/>
                <w:sz w:val="24"/>
                <w:szCs w:val="24"/>
                <w:lang w:eastAsia="zh-CN"/>
              </w:rPr>
              <w:t>DR</w:t>
            </w:r>
          </w:p>
        </w:tc>
        <w:tc>
          <w:tcPr>
            <w:tcW w:w="6975" w:type="dxa"/>
            <w:noWrap w:val="0"/>
            <w:vAlign w:val="center"/>
          </w:tcPr>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《乳腺数字 X 射线摄影系统质量控制检测规范》（WS 522-2017）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w:t>
            </w:r>
          </w:p>
        </w:tc>
        <w:tc>
          <w:tcPr>
            <w:tcW w:w="2145" w:type="dxa"/>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DSA设备</w:t>
            </w:r>
          </w:p>
        </w:tc>
        <w:tc>
          <w:tcPr>
            <w:tcW w:w="6975" w:type="dxa"/>
            <w:noWrap w:val="0"/>
            <w:vAlign w:val="center"/>
          </w:tcPr>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《医用常规 X 射线诊断设备质量控制检测规范》（WS 76-2017）和附件4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p>
        </w:tc>
        <w:tc>
          <w:tcPr>
            <w:tcW w:w="2145" w:type="dxa"/>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口内牙科机</w:t>
            </w:r>
          </w:p>
        </w:tc>
        <w:tc>
          <w:tcPr>
            <w:tcW w:w="6975" w:type="dxa"/>
            <w:noWrap w:val="0"/>
            <w:vAlign w:val="center"/>
          </w:tcPr>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《牙科 X 射线设备质量控制检测规范》（WS 581-2017）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w:t>
            </w:r>
          </w:p>
        </w:tc>
        <w:tc>
          <w:tcPr>
            <w:tcW w:w="2145" w:type="dxa"/>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全景牙科机</w:t>
            </w:r>
          </w:p>
        </w:tc>
        <w:tc>
          <w:tcPr>
            <w:tcW w:w="6975" w:type="dxa"/>
            <w:noWrap w:val="0"/>
            <w:vAlign w:val="center"/>
          </w:tcPr>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《牙科 X 射线设备质量控制检测规范》（WS 581-2017）</w:t>
            </w:r>
          </w:p>
        </w:tc>
      </w:tr>
    </w:tbl>
    <w:p>
      <w:pPr>
        <w:keepNext w:val="0"/>
        <w:keepLines w:val="0"/>
        <w:pageBreakBefore w:val="0"/>
        <w:widowControl w:val="0"/>
        <w:kinsoku/>
        <w:wordWrap/>
        <w:overflowPunct/>
        <w:topLinePunct w:val="0"/>
        <w:autoSpaceDE w:val="0"/>
        <w:autoSpaceDN w:val="0"/>
        <w:bidi w:val="0"/>
        <w:adjustRightInd/>
        <w:snapToGrid/>
        <w:spacing w:line="360" w:lineRule="auto"/>
        <w:ind w:right="6" w:firstLine="0" w:firstLineChars="0"/>
        <w:textAlignment w:val="auto"/>
        <w:rPr>
          <w:rFonts w:hint="default" w:ascii="Times New Roman" w:hAnsi="Times New Roman" w:eastAsia="宋体" w:cs="Times New Roman"/>
          <w:b/>
          <w:bCs/>
          <w:kern w:val="2"/>
          <w:sz w:val="32"/>
          <w:szCs w:val="32"/>
          <w:lang w:val="en-US" w:eastAsia="zh-CN" w:bidi="ar-SA"/>
        </w:rPr>
      </w:pPr>
      <w:r>
        <w:rPr>
          <w:rFonts w:hint="eastAsia"/>
          <w:b/>
          <w:bCs/>
          <w:sz w:val="24"/>
          <w:szCs w:val="24"/>
          <w:lang w:val="en-US" w:eastAsia="zh-CN"/>
        </w:rPr>
        <w:t>检测方法：</w:t>
      </w:r>
      <w:r>
        <w:rPr>
          <w:rFonts w:hint="default" w:ascii="Times New Roman" w:hAnsi="Times New Roman" w:eastAsia="宋体" w:cs="Times New Roman"/>
          <w:b/>
          <w:bCs/>
          <w:kern w:val="2"/>
          <w:sz w:val="24"/>
          <w:szCs w:val="24"/>
          <w:lang w:val="en-US" w:eastAsia="zh-CN" w:bidi="ar-SA"/>
        </w:rPr>
        <w:t>DSA 设备专用检测项目检测方法</w:t>
      </w:r>
      <w:r>
        <w:rPr>
          <w:rFonts w:hint="default" w:ascii="Times New Roman" w:hAnsi="Times New Roman" w:eastAsia="宋体" w:cs="Times New Roman"/>
          <w:b w:val="0"/>
          <w:bCs w:val="0"/>
          <w:kern w:val="2"/>
          <w:sz w:val="24"/>
          <w:szCs w:val="24"/>
          <w:lang w:val="en-US" w:eastAsia="zh-CN" w:bidi="ar-SA"/>
        </w:rPr>
        <w:t xml:space="preserve"> </w:t>
      </w:r>
    </w:p>
    <w:p>
      <w:pPr>
        <w:keepNext w:val="0"/>
        <w:keepLines w:val="0"/>
        <w:pageBreakBefore w:val="0"/>
        <w:widowControl w:val="0"/>
        <w:numPr>
          <w:ilvl w:val="0"/>
          <w:numId w:val="4"/>
        </w:numPr>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DSA 动态范围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（1）将性能模体水平放置在诊断床上，调整焦点—影像接收器距离（SID）为系统允许的最小值，设置影像视野（FOV）为系统允许的最大尺寸，调节球管角度使射线垂直入射模体表面。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（2）在透视状态下进行定位观察，前后左右移动诊断床，使模体在视野的中心，调整限束器使得照射野与模体大小一致。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（3）采用自动控制模式，选择 DSA 程序进行减影，采集模体的影像作为蒙片。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（4）当蒙片影像采集完，推动模体的血管插件模块，采集减影影像。通常蒙片与减影之间可选3 s～5 s 延迟时间。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（5）观察减影后的影像，调节窗宽和窗位使影像显示最佳，0.4 mm 血管模拟组件可见的灰阶数即为DSA 动态范围。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注：为减少检测人员的辐射剂量，宜使用电动无线遥控体模推进器或气动推进器，使检测人员可以远程控制体模运动。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2)DSA 对比灵敏度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（1）测试步骤与 DSA 动态范围的测试基本一致。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（2）用同样的方法得到减影图像后，观察图像，得到灰阶上每一个血管模拟结构均可见的阶梯计数，即为DSA 对比灵敏度。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（3）记录减影影像中，最薄灰阶（0.2 mm 灰阶）上是否所有血管可见。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3)伪影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（1）检测步骤与 DSA 动态范围的检测基本一致。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（2）为了检测伪影的时间依赖性，伪影检测时的持续时间应以每秒一帧图像的条件下进行。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（3）将性能模体放置在诊断床上，选择 DSA 程序进行减影，并持续10 s～20 s。然后停止曝光，观察图像中是否有伪影并记录。 </w:t>
      </w:r>
    </w:p>
    <w:p>
      <w:pPr>
        <w:rPr>
          <w:rFonts w:hint="default"/>
          <w:lang w:val="en-US"/>
        </w:rPr>
      </w:pPr>
      <w:r>
        <w:rPr>
          <w:rFonts w:hint="default" w:ascii="Times New Roman" w:hAnsi="Times New Roman" w:eastAsia="宋体" w:cs="Times New Roman"/>
          <w:b w:val="0"/>
          <w:bCs w:val="0"/>
          <w:spacing w:val="-4"/>
          <w:sz w:val="24"/>
          <w:szCs w:val="24"/>
          <w:lang w:val="en-US" w:eastAsia="zh-CN" w:bidi="ar-SA"/>
        </w:rPr>
        <w:t>（4）期间应使 DSA 体模中的模拟血管运动并产生位移，检查减影得到的图像上是否有伪影存在，并详细描述伪影的外观及可能产生的来源。</w:t>
      </w:r>
    </w:p>
    <w:p>
      <w:pPr>
        <w:spacing w:line="360" w:lineRule="auto"/>
        <w:ind w:firstLine="200"/>
        <w:rPr>
          <w:rFonts w:hint="eastAsia" w:ascii="宋体" w:hAnsi="宋体" w:cs="宋体"/>
          <w:b/>
          <w:bCs/>
          <w:sz w:val="24"/>
          <w:szCs w:val="24"/>
          <w:lang w:val="en-US" w:eastAsia="zh-CN"/>
        </w:rPr>
      </w:pPr>
      <w:r>
        <w:rPr>
          <w:rFonts w:hint="eastAsia" w:ascii="宋体" w:hAnsi="宋体" w:cs="宋体"/>
          <w:b/>
          <w:bCs/>
          <w:sz w:val="24"/>
          <w:szCs w:val="24"/>
          <w:lang w:val="en-US" w:eastAsia="zh-CN"/>
        </w:rPr>
        <w:t>4、其它要求</w:t>
      </w:r>
    </w:p>
    <w:p>
      <w:pPr>
        <w:spacing w:line="360" w:lineRule="auto"/>
        <w:ind w:firstLine="200"/>
        <w:rPr>
          <w:rFonts w:hint="eastAsia" w:ascii="宋体" w:hAnsi="宋体" w:cs="宋体"/>
          <w:sz w:val="24"/>
          <w:szCs w:val="24"/>
          <w:lang w:val="en-US" w:eastAsia="zh-CN"/>
        </w:rPr>
      </w:pPr>
      <w:r>
        <w:rPr>
          <w:rFonts w:hint="eastAsia" w:ascii="宋体" w:hAnsi="宋体" w:cs="宋体"/>
          <w:sz w:val="24"/>
          <w:szCs w:val="24"/>
          <w:lang w:val="en-US" w:eastAsia="zh-CN"/>
        </w:rPr>
        <w:t>医用辐射防护监测项目采用最新标准进行检测。</w:t>
      </w:r>
    </w:p>
    <w:p>
      <w:pPr>
        <w:spacing w:line="360" w:lineRule="auto"/>
        <w:ind w:firstLine="468" w:firstLineChars="195"/>
        <w:rPr>
          <w:rFonts w:hint="eastAsia" w:ascii="宋体" w:hAnsi="宋体" w:cs="宋体"/>
          <w:sz w:val="24"/>
          <w:szCs w:val="24"/>
          <w:lang w:val="en-US" w:eastAsia="zh-CN"/>
        </w:rPr>
      </w:pPr>
      <w:r>
        <w:rPr>
          <w:rFonts w:hint="eastAsia" w:ascii="宋体" w:hAnsi="宋体" w:cs="宋体"/>
          <w:sz w:val="24"/>
          <w:szCs w:val="24"/>
          <w:lang w:val="en-US" w:eastAsia="zh-CN"/>
        </w:rPr>
        <w:t>放射诊断设备放射防护监测 ：</w:t>
      </w:r>
    </w:p>
    <w:p>
      <w:pPr>
        <w:spacing w:line="360" w:lineRule="auto"/>
        <w:ind w:firstLine="468" w:firstLineChars="195"/>
        <w:rPr>
          <w:rFonts w:hint="eastAsia" w:ascii="宋体" w:hAnsi="宋体" w:cs="宋体"/>
          <w:sz w:val="24"/>
          <w:szCs w:val="24"/>
          <w:lang w:val="en-US" w:eastAsia="zh-CN"/>
        </w:rPr>
      </w:pPr>
      <w:r>
        <w:rPr>
          <w:rFonts w:hint="eastAsia" w:ascii="宋体" w:hAnsi="宋体" w:cs="宋体"/>
          <w:sz w:val="24"/>
          <w:szCs w:val="24"/>
          <w:lang w:val="en-US" w:eastAsia="zh-CN"/>
        </w:rPr>
        <w:t>CT设备应符合《X射线计算机体层摄影装置质量控制 检测规范》（WS 519-2019）和《X射线计算机断层摄影装置质量保证检测规范》(GB17589-2011)标准要求。 其他放射诊断设备采用《医用</w:t>
      </w:r>
      <w:r>
        <w:rPr>
          <w:rFonts w:hint="default" w:ascii="宋体" w:hAnsi="宋体" w:cs="宋体"/>
          <w:sz w:val="24"/>
          <w:szCs w:val="24"/>
          <w:lang w:val="en-US" w:eastAsia="zh-CN"/>
        </w:rPr>
        <w:t>X</w:t>
      </w:r>
      <w:r>
        <w:rPr>
          <w:rFonts w:hint="eastAsia" w:ascii="宋体" w:hAnsi="宋体" w:cs="宋体"/>
          <w:sz w:val="24"/>
          <w:szCs w:val="24"/>
          <w:lang w:val="en-US" w:eastAsia="zh-CN"/>
        </w:rPr>
        <w:t>射线诊断设备质量控制检测规范 》</w:t>
      </w:r>
      <w:r>
        <w:rPr>
          <w:rFonts w:hint="default" w:ascii="宋体" w:hAnsi="宋体" w:cs="宋体"/>
          <w:sz w:val="24"/>
          <w:szCs w:val="24"/>
          <w:lang w:val="en-US" w:eastAsia="zh-CN"/>
        </w:rPr>
        <w:t>(WS76-2020)</w:t>
      </w:r>
      <w:r>
        <w:rPr>
          <w:rFonts w:hint="eastAsia" w:ascii="宋体" w:hAnsi="宋体" w:cs="宋体"/>
          <w:sz w:val="24"/>
          <w:szCs w:val="24"/>
          <w:lang w:val="en-US" w:eastAsia="zh-CN"/>
        </w:rPr>
        <w:t>进行防护监测。</w:t>
      </w:r>
    </w:p>
    <w:p>
      <w:pPr>
        <w:spacing w:line="360" w:lineRule="auto"/>
        <w:ind w:firstLine="200"/>
        <w:rPr>
          <w:rFonts w:hint="eastAsia" w:ascii="宋体" w:hAnsi="宋体" w:cs="宋体"/>
          <w:sz w:val="24"/>
          <w:szCs w:val="24"/>
          <w:lang w:val="en-US" w:eastAsia="zh-CN"/>
        </w:rPr>
      </w:pPr>
      <w:r>
        <w:rPr>
          <w:rFonts w:hint="eastAsia" w:ascii="宋体" w:hAnsi="宋体" w:cs="宋体"/>
          <w:sz w:val="24"/>
          <w:szCs w:val="24"/>
          <w:lang w:val="en-US" w:eastAsia="zh-CN"/>
        </w:rPr>
        <w:t>放射防护场所监测：</w:t>
      </w:r>
    </w:p>
    <w:p>
      <w:r>
        <w:rPr>
          <w:rFonts w:hint="eastAsia" w:ascii="宋体" w:hAnsi="宋体" w:cs="宋体"/>
          <w:sz w:val="24"/>
          <w:szCs w:val="24"/>
          <w:lang w:val="en-US" w:eastAsia="zh-CN"/>
        </w:rPr>
        <w:t>使用《放射诊断放射 防护要求》</w:t>
      </w:r>
      <w:r>
        <w:rPr>
          <w:rFonts w:hint="default" w:ascii="宋体" w:hAnsi="宋体" w:cs="宋体"/>
          <w:sz w:val="24"/>
          <w:szCs w:val="24"/>
          <w:lang w:val="en-US" w:eastAsia="zh-CN"/>
        </w:rPr>
        <w:t>(GBZ130-2020)</w:t>
      </w:r>
      <w:r>
        <w:rPr>
          <w:rFonts w:hint="eastAsia" w:ascii="宋体" w:hAnsi="宋体" w:cs="宋体"/>
          <w:sz w:val="24"/>
          <w:szCs w:val="24"/>
          <w:lang w:val="en-US" w:eastAsia="zh-CN"/>
        </w:rPr>
        <w:t xml:space="preserve">、《放射治疗放射防护要求》 </w:t>
      </w:r>
      <w:r>
        <w:rPr>
          <w:rFonts w:hint="default" w:ascii="宋体" w:hAnsi="宋体" w:cs="宋体"/>
          <w:sz w:val="24"/>
          <w:szCs w:val="24"/>
          <w:lang w:val="en-US" w:eastAsia="zh-CN"/>
        </w:rPr>
        <w:t>(GBZ121- 2020)</w:t>
      </w:r>
      <w:r>
        <w:rPr>
          <w:rFonts w:hint="eastAsia" w:ascii="宋体" w:hAnsi="宋体" w:cs="宋体"/>
          <w:sz w:val="24"/>
          <w:szCs w:val="24"/>
          <w:lang w:val="en-US" w:eastAsia="zh-CN"/>
        </w:rPr>
        <w:t>、 《核医学放射防护要求》</w:t>
      </w:r>
      <w:r>
        <w:rPr>
          <w:rFonts w:hint="default" w:ascii="宋体" w:hAnsi="宋体" w:cs="宋体"/>
          <w:sz w:val="24"/>
          <w:szCs w:val="24"/>
          <w:lang w:val="en-US" w:eastAsia="zh-CN"/>
        </w:rPr>
        <w:t>(GBZ120-2020)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9A194B"/>
    <w:multiLevelType w:val="singleLevel"/>
    <w:tmpl w:val="909A194B"/>
    <w:lvl w:ilvl="0" w:tentative="0">
      <w:start w:val="1"/>
      <w:numFmt w:val="decimal"/>
      <w:suff w:val="nothing"/>
      <w:lvlText w:val="%1、"/>
      <w:lvlJc w:val="left"/>
    </w:lvl>
  </w:abstractNum>
  <w:abstractNum w:abstractNumId="1">
    <w:nsid w:val="C324E6C8"/>
    <w:multiLevelType w:val="singleLevel"/>
    <w:tmpl w:val="C324E6C8"/>
    <w:lvl w:ilvl="0" w:tentative="0">
      <w:start w:val="1"/>
      <w:numFmt w:val="decimal"/>
      <w:suff w:val="nothing"/>
      <w:lvlText w:val="%1、"/>
      <w:lvlJc w:val="left"/>
    </w:lvl>
  </w:abstractNum>
  <w:abstractNum w:abstractNumId="2">
    <w:nsid w:val="4142DC73"/>
    <w:multiLevelType w:val="singleLevel"/>
    <w:tmpl w:val="4142DC73"/>
    <w:lvl w:ilvl="0" w:tentative="0">
      <w:start w:val="1"/>
      <w:numFmt w:val="decimal"/>
      <w:suff w:val="space"/>
      <w:lvlText w:val="%1)"/>
      <w:lvlJc w:val="left"/>
    </w:lvl>
  </w:abstractNum>
  <w:abstractNum w:abstractNumId="3">
    <w:nsid w:val="75C08CD1"/>
    <w:multiLevelType w:val="singleLevel"/>
    <w:tmpl w:val="75C08CD1"/>
    <w:lvl w:ilvl="0" w:tentative="0">
      <w:start w:val="5"/>
      <w:numFmt w:val="chineseCounting"/>
      <w:suff w:val="nothing"/>
      <w:lvlText w:val="%1、"/>
      <w:lvlJc w:val="left"/>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8C3B16"/>
    <w:rsid w:val="2DDA4884"/>
    <w:rsid w:val="778C3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outlineLvl w:val="0"/>
    </w:pPr>
    <w:rPr>
      <w:rFonts w:ascii="Times New Roman" w:hAnsi="Times New Roman"/>
      <w:sz w:val="28"/>
      <w:szCs w:val="24"/>
    </w:rPr>
  </w:style>
  <w:style w:type="paragraph" w:styleId="4">
    <w:name w:val="heading 2"/>
    <w:basedOn w:val="1"/>
    <w:next w:val="1"/>
    <w:qFormat/>
    <w:uiPriority w:val="0"/>
    <w:pPr>
      <w:keepNext/>
      <w:keepLines/>
      <w:adjustRightInd w:val="0"/>
      <w:spacing w:before="260" w:after="260" w:line="416" w:lineRule="atLeast"/>
      <w:jc w:val="left"/>
      <w:textAlignment w:val="baseline"/>
      <w:outlineLvl w:val="1"/>
    </w:pPr>
    <w:rPr>
      <w:rFonts w:ascii="Arial" w:hAnsi="Arial" w:eastAsia="黑体"/>
      <w:b/>
      <w:kern w:val="0"/>
      <w:sz w:val="32"/>
      <w:szCs w:val="20"/>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uiPriority w:val="0"/>
    <w:pPr>
      <w:spacing w:after="120"/>
    </w:pPr>
    <w:rPr>
      <w:rFonts w:ascii="Times New Roman" w:hAnsi="Times New Roman"/>
      <w:szCs w:val="24"/>
    </w:rPr>
  </w:style>
  <w:style w:type="paragraph" w:styleId="5">
    <w:name w:val="Body Text Indent"/>
    <w:basedOn w:val="1"/>
    <w:next w:val="6"/>
    <w:qFormat/>
    <w:uiPriority w:val="0"/>
    <w:pPr>
      <w:ind w:firstLine="540"/>
    </w:pPr>
    <w:rPr>
      <w:rFonts w:ascii="Times New Roman" w:hAnsi="Times New Roman" w:eastAsia="仿宋_GB2312"/>
      <w:sz w:val="28"/>
      <w:szCs w:val="20"/>
    </w:rPr>
  </w:style>
  <w:style w:type="paragraph" w:styleId="6">
    <w:name w:val="envelope return"/>
    <w:basedOn w:val="1"/>
    <w:qFormat/>
    <w:uiPriority w:val="0"/>
    <w:pPr>
      <w:adjustRightInd w:val="0"/>
      <w:snapToGrid w:val="0"/>
      <w:spacing w:line="360" w:lineRule="auto"/>
      <w:ind w:firstLine="200" w:firstLineChars="200"/>
    </w:pPr>
    <w:rPr>
      <w:rFonts w:ascii="Cambria" w:hAnsi="Cambria"/>
      <w:sz w:val="24"/>
      <w:szCs w:val="24"/>
    </w:rPr>
  </w:style>
  <w:style w:type="paragraph" w:styleId="7">
    <w:name w:val="Body Text First Indent 2"/>
    <w:basedOn w:val="5"/>
    <w:qFormat/>
    <w:uiPriority w:val="0"/>
    <w:pPr>
      <w:ind w:leftChars="0" w:firstLine="210"/>
    </w:pPr>
    <w:rPr>
      <w:kern w:val="0"/>
      <w:sz w:val="20"/>
    </w:rPr>
  </w:style>
  <w:style w:type="table" w:styleId="9">
    <w:name w:val="Table Grid"/>
    <w:basedOn w:val="8"/>
    <w:qFormat/>
    <w:uiPriority w:val="5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2021-09-01T07:11:00Z</dcterms:created>
  <dc:creator>丨′抬头观望那1.袭星光ゞ</dc:creator>
  <cp:lastModifiedBy>WPS_1615368393</cp:lastModifiedBy>
  <dcterms:modified xsi:type="dcterms:W3CDTF">2021-09-06T09:50:20Z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EA670A01CB4C47E6890B7495DF16E7A2</vt:lpwstr>
  </property>
</Properties>
</file>